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1CF5480C"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364C98">
        <w:rPr>
          <w:rFonts w:ascii="Arial" w:eastAsia="Batang" w:hAnsi="Arial" w:cs="Arial"/>
          <w:b/>
          <w:bCs/>
          <w:szCs w:val="22"/>
        </w:rPr>
        <w:t>7</w:t>
      </w:r>
      <w:r w:rsidRPr="00074926">
        <w:rPr>
          <w:rFonts w:ascii="Arial" w:eastAsia="Batang" w:hAnsi="Arial" w:cs="Arial"/>
          <w:b/>
          <w:bCs/>
          <w:szCs w:val="22"/>
        </w:rPr>
        <w:tab/>
      </w:r>
      <w:r w:rsidRPr="00074926">
        <w:rPr>
          <w:rFonts w:ascii="Arial" w:eastAsia="Batang" w:hAnsi="Arial" w:cs="Arial"/>
          <w:b/>
          <w:bCs/>
          <w:szCs w:val="22"/>
        </w:rPr>
        <w:tab/>
      </w:r>
      <w:r w:rsidR="005C70A9" w:rsidRPr="00CA5461">
        <w:rPr>
          <w:rFonts w:ascii="Arial" w:eastAsia="Batang" w:hAnsi="Arial" w:cs="Arial"/>
          <w:b/>
          <w:bCs/>
          <w:color w:val="000000" w:themeColor="text1"/>
          <w:szCs w:val="22"/>
        </w:rPr>
        <w:t>R1-190</w:t>
      </w:r>
      <w:r w:rsidR="00364C98">
        <w:rPr>
          <w:rFonts w:ascii="Arial" w:eastAsia="Batang" w:hAnsi="Arial" w:cs="Arial"/>
          <w:b/>
          <w:bCs/>
          <w:color w:val="000000" w:themeColor="text1"/>
          <w:szCs w:val="22"/>
        </w:rPr>
        <w:t>7189</w:t>
      </w:r>
    </w:p>
    <w:p w14:paraId="3B0F6453" w14:textId="7790F427" w:rsidR="00855F39" w:rsidRPr="00074926" w:rsidRDefault="00364C98"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Reno, USA</w:t>
      </w:r>
      <w:r w:rsidR="00782D42">
        <w:rPr>
          <w:rFonts w:ascii="Arial" w:eastAsia="MS Mincho" w:hAnsi="Arial" w:cs="Arial"/>
          <w:b/>
          <w:bCs/>
          <w:szCs w:val="22"/>
          <w:lang w:eastAsia="ja-JP"/>
        </w:rPr>
        <w:t xml:space="preserve">, </w:t>
      </w:r>
      <w:r>
        <w:rPr>
          <w:rFonts w:ascii="Arial" w:eastAsia="MS Mincho" w:hAnsi="Arial" w:cs="Arial"/>
          <w:b/>
          <w:bCs/>
          <w:szCs w:val="22"/>
          <w:lang w:eastAsia="ja-JP"/>
        </w:rPr>
        <w:t>13</w:t>
      </w:r>
      <w:r w:rsidRPr="00364C98">
        <w:rPr>
          <w:rFonts w:ascii="Arial" w:eastAsia="MS Mincho" w:hAnsi="Arial" w:cs="Arial"/>
          <w:b/>
          <w:bCs/>
          <w:szCs w:val="22"/>
          <w:vertAlign w:val="superscript"/>
          <w:lang w:eastAsia="ja-JP"/>
        </w:rPr>
        <w:t>th</w:t>
      </w:r>
      <w:r>
        <w:rPr>
          <w:rFonts w:ascii="Arial" w:eastAsia="MS Mincho" w:hAnsi="Arial" w:cs="Arial"/>
          <w:b/>
          <w:bCs/>
          <w:szCs w:val="22"/>
          <w:lang w:eastAsia="ja-JP"/>
        </w:rPr>
        <w:t>-17</w:t>
      </w:r>
      <w:r w:rsidRPr="00364C98">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May</w:t>
      </w:r>
      <w:r w:rsidR="004D5BF4" w:rsidRPr="004D5BF4">
        <w:rPr>
          <w:rFonts w:ascii="Arial" w:eastAsia="MS Mincho" w:hAnsi="Arial" w:cs="Arial"/>
          <w:b/>
          <w:bCs/>
          <w:szCs w:val="22"/>
          <w:lang w:eastAsia="ja-JP"/>
        </w:rPr>
        <w:t xml:space="preserve">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664A670" w:rsidR="00855F39" w:rsidRPr="00074926" w:rsidRDefault="005C70A9" w:rsidP="00855F39">
      <w:pPr>
        <w:tabs>
          <w:tab w:val="left" w:pos="1800"/>
        </w:tabs>
        <w:spacing w:after="60"/>
        <w:rPr>
          <w:rFonts w:eastAsia="MS Mincho"/>
          <w:b/>
          <w:lang w:val="en-US"/>
        </w:rPr>
      </w:pPr>
      <w:r>
        <w:rPr>
          <w:b/>
          <w:lang w:val="en-US"/>
        </w:rPr>
        <w:t>Agenda Item:</w:t>
      </w:r>
      <w:r>
        <w:rPr>
          <w:b/>
          <w:lang w:val="en-US"/>
        </w:rPr>
        <w:tab/>
        <w:t>6.2</w:t>
      </w:r>
      <w:r w:rsidR="00855F39" w:rsidRPr="00074926">
        <w:rPr>
          <w:b/>
          <w:lang w:val="en-US"/>
        </w:rPr>
        <w:t>.</w:t>
      </w:r>
      <w:r>
        <w:rPr>
          <w:b/>
          <w:lang w:val="en-US"/>
        </w:rPr>
        <w:t>1.</w:t>
      </w:r>
      <w:r w:rsidR="00300E72">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B92B85D"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0D55CA">
        <w:rPr>
          <w:b/>
          <w:color w:val="000000"/>
          <w:lang w:val="en-US"/>
        </w:rPr>
        <w:t>On scheduling multiple DL / UL transport blocks</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6ABBC91E" w14:textId="75E74CDB" w:rsidR="00364C98" w:rsidRDefault="004D5BF4" w:rsidP="004D5BF4">
      <w:pPr>
        <w:rPr>
          <w:rFonts w:eastAsia="MS Mincho"/>
          <w:lang w:val="en-US"/>
        </w:rPr>
      </w:pPr>
      <w:r>
        <w:rPr>
          <w:rFonts w:eastAsia="MS Mincho"/>
          <w:lang w:val="en-US"/>
        </w:rPr>
        <w:t>In RAN1</w:t>
      </w:r>
      <w:r w:rsidR="005C70A9">
        <w:rPr>
          <w:rFonts w:eastAsia="MS Mincho"/>
          <w:lang w:val="en-US"/>
        </w:rPr>
        <w:t>#9</w:t>
      </w:r>
      <w:r w:rsidR="0073373C">
        <w:rPr>
          <w:rFonts w:eastAsia="MS Mincho"/>
          <w:lang w:val="en-US"/>
        </w:rPr>
        <w:t>6</w:t>
      </w:r>
      <w:r w:rsidR="00364C98">
        <w:rPr>
          <w:rFonts w:eastAsia="MS Mincho"/>
          <w:lang w:val="en-US"/>
        </w:rPr>
        <w:t>bis</w:t>
      </w:r>
      <w:r>
        <w:rPr>
          <w:rFonts w:eastAsia="MS Mincho"/>
          <w:lang w:val="en-US"/>
        </w:rPr>
        <w:t xml:space="preserve">, we </w:t>
      </w:r>
      <w:r w:rsidR="005C70A9">
        <w:rPr>
          <w:rFonts w:eastAsia="MS Mincho"/>
          <w:lang w:val="en-US"/>
        </w:rPr>
        <w:t>agreed the following</w:t>
      </w:r>
      <w:r w:rsidR="005C19D9">
        <w:rPr>
          <w:rFonts w:eastAsia="MS Mincho"/>
          <w:lang w:val="en-US"/>
        </w:rPr>
        <w:t xml:space="preserve"> on </w:t>
      </w:r>
      <w:r w:rsidR="00DB0C2A">
        <w:rPr>
          <w:rFonts w:eastAsia="MS Mincho"/>
          <w:lang w:val="en-US"/>
        </w:rPr>
        <w:t>scheduling multiple DL / UL transport blocks [1]</w:t>
      </w:r>
      <w:r>
        <w:rPr>
          <w:rFonts w:eastAsia="MS Mincho"/>
          <w:lang w:val="en-US"/>
        </w:rPr>
        <w:t>:</w:t>
      </w:r>
    </w:p>
    <w:p w14:paraId="32BE4912" w14:textId="77777777" w:rsidR="00364C98" w:rsidRDefault="00364C98" w:rsidP="00364C98">
      <w:pPr>
        <w:pStyle w:val="Proposal"/>
        <w:overflowPunct/>
        <w:autoSpaceDE/>
        <w:adjustRightInd/>
        <w:spacing w:after="0"/>
        <w:jc w:val="left"/>
      </w:pPr>
      <w:r>
        <w:t>For further discussion</w:t>
      </w:r>
    </w:p>
    <w:p w14:paraId="49060B62" w14:textId="77777777" w:rsidR="00364C98" w:rsidRDefault="00364C98" w:rsidP="00364C98">
      <w:pPr>
        <w:pStyle w:val="Proposal"/>
        <w:overflowPunct/>
        <w:autoSpaceDE/>
        <w:adjustRightInd/>
        <w:spacing w:after="0"/>
        <w:ind w:left="0" w:firstLine="0"/>
        <w:jc w:val="left"/>
        <w:rPr>
          <w:b w:val="0"/>
        </w:rPr>
      </w:pPr>
      <w:r>
        <w:rPr>
          <w:b w:val="0"/>
        </w:rPr>
        <w:t>Which of the following features that should be possible to configure and/or use in combination with scheduling of multiple TBs</w:t>
      </w:r>
    </w:p>
    <w:p w14:paraId="07EF9243" w14:textId="77777777" w:rsidR="00364C98" w:rsidRDefault="00364C98" w:rsidP="00364C98">
      <w:pPr>
        <w:numPr>
          <w:ilvl w:val="0"/>
          <w:numId w:val="41"/>
        </w:numPr>
        <w:spacing w:after="0"/>
        <w:rPr>
          <w:rFonts w:eastAsia="Times New Roman"/>
        </w:rPr>
      </w:pPr>
      <w:r>
        <w:rPr>
          <w:rFonts w:eastAsia="Times New Roman"/>
        </w:rPr>
        <w:t>Rel-14 feature for new numbers of repetitions for PUSCH and modulation restrictions for PDSCH/PUSCH in CE mode A</w:t>
      </w:r>
    </w:p>
    <w:p w14:paraId="0CCAB7C9" w14:textId="77777777" w:rsidR="00364C98" w:rsidRDefault="00364C98" w:rsidP="00364C98">
      <w:pPr>
        <w:numPr>
          <w:ilvl w:val="0"/>
          <w:numId w:val="41"/>
        </w:numPr>
        <w:spacing w:after="0"/>
        <w:rPr>
          <w:rFonts w:eastAsia="Times New Roman"/>
        </w:rPr>
      </w:pPr>
      <w:r>
        <w:rPr>
          <w:rFonts w:eastAsia="Times New Roman"/>
        </w:rPr>
        <w:t>Rel-14 feature for 2984 bits max UL TBS in 1.4 MHz in CE mode A</w:t>
      </w:r>
    </w:p>
    <w:p w14:paraId="57F94A46" w14:textId="77777777" w:rsidR="00364C98" w:rsidRDefault="00364C98" w:rsidP="00364C98">
      <w:pPr>
        <w:numPr>
          <w:ilvl w:val="0"/>
          <w:numId w:val="41"/>
        </w:numPr>
        <w:spacing w:after="0"/>
        <w:rPr>
          <w:rFonts w:eastAsia="Times New Roman"/>
        </w:rPr>
      </w:pPr>
      <w:r>
        <w:rPr>
          <w:rFonts w:eastAsia="Times New Roman"/>
        </w:rPr>
        <w:t>Rel-14 feature on HARQ-ACK bundling in HD-FDD in CE mode A</w:t>
      </w:r>
    </w:p>
    <w:p w14:paraId="11A3385F" w14:textId="77777777" w:rsidR="00364C98" w:rsidRDefault="00364C98" w:rsidP="00364C98">
      <w:pPr>
        <w:numPr>
          <w:ilvl w:val="0"/>
          <w:numId w:val="41"/>
        </w:numPr>
        <w:spacing w:after="0"/>
        <w:rPr>
          <w:rFonts w:eastAsia="Times New Roman"/>
        </w:rPr>
      </w:pPr>
      <w:r>
        <w:rPr>
          <w:rFonts w:eastAsia="Times New Roman"/>
        </w:rPr>
        <w:t>Rel-14 features for 5 or 20 MHz max PDSCH/PUSCH channel bandwidths in CE mode A/B</w:t>
      </w:r>
    </w:p>
    <w:p w14:paraId="3DB65F4A" w14:textId="77777777" w:rsidR="00364C98" w:rsidRDefault="00364C98" w:rsidP="00364C98">
      <w:pPr>
        <w:numPr>
          <w:ilvl w:val="0"/>
          <w:numId w:val="41"/>
        </w:numPr>
        <w:spacing w:after="0"/>
        <w:rPr>
          <w:rFonts w:eastAsia="Times New Roman"/>
        </w:rPr>
      </w:pPr>
      <w:r>
        <w:rPr>
          <w:rFonts w:eastAsia="Times New Roman"/>
        </w:rPr>
        <w:t>Rel-14 feature for 10 downlink HARQ processes in FDD in CE mode A</w:t>
      </w:r>
    </w:p>
    <w:p w14:paraId="18727E5D" w14:textId="77777777" w:rsidR="00364C98" w:rsidRDefault="00364C98" w:rsidP="00364C98">
      <w:pPr>
        <w:numPr>
          <w:ilvl w:val="0"/>
          <w:numId w:val="41"/>
        </w:numPr>
        <w:spacing w:after="0"/>
        <w:rPr>
          <w:rFonts w:eastAsia="Times New Roman"/>
        </w:rPr>
      </w:pPr>
      <w:r>
        <w:rPr>
          <w:rFonts w:eastAsia="Times New Roman"/>
        </w:rPr>
        <w:t>Rel-14 feature for dynamic HARQ-ACK delay for HD-FDD in CE mode A</w:t>
      </w:r>
    </w:p>
    <w:p w14:paraId="7B667F83" w14:textId="77777777" w:rsidR="00364C98" w:rsidRDefault="00364C98" w:rsidP="00364C98">
      <w:pPr>
        <w:numPr>
          <w:ilvl w:val="0"/>
          <w:numId w:val="41"/>
        </w:numPr>
        <w:spacing w:after="0"/>
        <w:rPr>
          <w:rFonts w:eastAsia="Times New Roman"/>
        </w:rPr>
      </w:pPr>
      <w:r>
        <w:rPr>
          <w:rFonts w:eastAsia="Times New Roman"/>
        </w:rPr>
        <w:t>Rel-15 features for flexible starting PRB for PDSCH/PUSCH in CE mode A/B</w:t>
      </w:r>
    </w:p>
    <w:p w14:paraId="2636BA9B" w14:textId="77777777" w:rsidR="00364C98" w:rsidRDefault="00364C98" w:rsidP="00364C98">
      <w:pPr>
        <w:numPr>
          <w:ilvl w:val="0"/>
          <w:numId w:val="41"/>
        </w:numPr>
        <w:spacing w:after="0"/>
        <w:rPr>
          <w:rFonts w:eastAsia="Times New Roman"/>
        </w:rPr>
      </w:pPr>
      <w:r>
        <w:rPr>
          <w:rFonts w:eastAsia="Times New Roman"/>
        </w:rPr>
        <w:t>Rel-15 feature for PUSCH sub-PRB allocation in CE mode A/B</w:t>
      </w:r>
    </w:p>
    <w:p w14:paraId="1CA18315" w14:textId="77777777" w:rsidR="00364C98" w:rsidRDefault="00364C98" w:rsidP="00364C98">
      <w:pPr>
        <w:numPr>
          <w:ilvl w:val="0"/>
          <w:numId w:val="41"/>
        </w:numPr>
        <w:spacing w:after="0"/>
        <w:rPr>
          <w:rFonts w:eastAsia="Times New Roman"/>
        </w:rPr>
      </w:pPr>
      <w:r>
        <w:rPr>
          <w:rFonts w:eastAsia="Times New Roman"/>
        </w:rPr>
        <w:t>Rel-15 feature for 64QAM for non-repeated unicast PDSCH in CE mode A</w:t>
      </w:r>
    </w:p>
    <w:p w14:paraId="7B2E8DFF" w14:textId="77777777" w:rsidR="00364C98" w:rsidRDefault="00364C98" w:rsidP="00364C98">
      <w:pPr>
        <w:numPr>
          <w:ilvl w:val="0"/>
          <w:numId w:val="41"/>
        </w:numPr>
        <w:spacing w:after="0"/>
        <w:rPr>
          <w:rFonts w:eastAsia="Times New Roman"/>
        </w:rPr>
      </w:pPr>
      <w:r>
        <w:rPr>
          <w:rFonts w:eastAsia="Times New Roman"/>
        </w:rPr>
        <w:t>Rel-15 feature for uplink HARQ-ACK feedback in DCI in CE mode A/B</w:t>
      </w:r>
    </w:p>
    <w:p w14:paraId="440A79E1" w14:textId="77777777" w:rsidR="00364C98" w:rsidRDefault="00364C98" w:rsidP="00364C98">
      <w:pPr>
        <w:rPr>
          <w:lang w:eastAsia="x-none"/>
        </w:rPr>
      </w:pPr>
      <w:r>
        <w:rPr>
          <w:lang w:eastAsia="x-none"/>
        </w:rPr>
        <w:t>Companies are encouraged to provide their preference on this issue.</w:t>
      </w:r>
    </w:p>
    <w:p w14:paraId="60F28B85" w14:textId="77777777" w:rsidR="00364C98" w:rsidRDefault="00364C98" w:rsidP="00364C98">
      <w:pPr>
        <w:rPr>
          <w:rFonts w:cs="Arial"/>
        </w:rPr>
      </w:pPr>
    </w:p>
    <w:p w14:paraId="53DF64E7" w14:textId="77777777" w:rsidR="00364C98" w:rsidRDefault="00364C98" w:rsidP="00364C98">
      <w:pPr>
        <w:rPr>
          <w:rFonts w:cs="Arial"/>
          <w:b/>
          <w:highlight w:val="green"/>
        </w:rPr>
      </w:pPr>
      <w:r>
        <w:rPr>
          <w:rFonts w:cs="Arial"/>
          <w:b/>
          <w:highlight w:val="green"/>
        </w:rPr>
        <w:t>Agreement</w:t>
      </w:r>
    </w:p>
    <w:p w14:paraId="3C2EC7DC" w14:textId="77777777" w:rsidR="00364C98" w:rsidRPr="00731218" w:rsidRDefault="00364C98" w:rsidP="00364C98">
      <w:pPr>
        <w:pStyle w:val="Proposal"/>
        <w:overflowPunct/>
        <w:autoSpaceDE/>
        <w:adjustRightInd/>
        <w:spacing w:after="0"/>
        <w:ind w:left="0" w:firstLine="0"/>
        <w:jc w:val="left"/>
        <w:rPr>
          <w:b w:val="0"/>
        </w:rPr>
      </w:pPr>
      <w:r w:rsidRPr="00731218">
        <w:rPr>
          <w:rFonts w:cs="Arial"/>
          <w:b w:val="0"/>
        </w:rPr>
        <w:t xml:space="preserve">For unicast, the UE is configured for interleaved </w:t>
      </w:r>
      <w:r w:rsidRPr="00731218">
        <w:rPr>
          <w:b w:val="0"/>
        </w:rPr>
        <w:t xml:space="preserve">transmission of subframe repetitions </w:t>
      </w:r>
      <w:r w:rsidRPr="00731218">
        <w:rPr>
          <w:rFonts w:cs="Arial"/>
          <w:b w:val="0"/>
        </w:rPr>
        <w:t xml:space="preserve">of the </w:t>
      </w:r>
      <w:r w:rsidRPr="00731218">
        <w:rPr>
          <w:b w:val="0"/>
        </w:rPr>
        <w:t>respective</w:t>
      </w:r>
      <w:r w:rsidRPr="00731218">
        <w:rPr>
          <w:rFonts w:cs="Arial"/>
          <w:b w:val="0"/>
        </w:rPr>
        <w:t xml:space="preserve"> TBs separately for DL and UL via RRC </w:t>
      </w:r>
      <w:proofErr w:type="spellStart"/>
      <w:r w:rsidRPr="00731218">
        <w:rPr>
          <w:rFonts w:cs="Arial"/>
          <w:b w:val="0"/>
        </w:rPr>
        <w:t>signaling</w:t>
      </w:r>
      <w:proofErr w:type="spellEnd"/>
      <w:r w:rsidRPr="00731218">
        <w:rPr>
          <w:b w:val="0"/>
        </w:rPr>
        <w:t>.</w:t>
      </w:r>
    </w:p>
    <w:p w14:paraId="69B629DF" w14:textId="77777777" w:rsidR="00364C98" w:rsidRDefault="00364C98" w:rsidP="00364C98">
      <w:pPr>
        <w:rPr>
          <w:lang w:eastAsia="x-none"/>
        </w:rPr>
      </w:pPr>
    </w:p>
    <w:p w14:paraId="0C713FE2" w14:textId="77777777" w:rsidR="00364C98" w:rsidRDefault="00364C98" w:rsidP="00364C98">
      <w:pPr>
        <w:rPr>
          <w:b/>
          <w:highlight w:val="green"/>
          <w:lang w:eastAsia="x-none"/>
        </w:rPr>
      </w:pPr>
      <w:r>
        <w:rPr>
          <w:b/>
          <w:highlight w:val="green"/>
          <w:lang w:eastAsia="x-none"/>
        </w:rPr>
        <w:t xml:space="preserve">Agreement </w:t>
      </w:r>
    </w:p>
    <w:p w14:paraId="6FAC7BD8" w14:textId="77777777" w:rsidR="00364C98" w:rsidRPr="00731218" w:rsidRDefault="00364C98" w:rsidP="00364C98">
      <w:pPr>
        <w:pStyle w:val="Proposal"/>
        <w:overflowPunct/>
        <w:autoSpaceDE/>
        <w:adjustRightInd/>
        <w:spacing w:after="0"/>
        <w:ind w:left="0" w:firstLine="0"/>
        <w:jc w:val="left"/>
        <w:rPr>
          <w:rFonts w:cs="Arial"/>
          <w:b w:val="0"/>
          <w:lang w:eastAsia="en-US"/>
        </w:rPr>
      </w:pPr>
      <w:r w:rsidRPr="00731218">
        <w:rPr>
          <w:rFonts w:cs="Arial"/>
          <w:b w:val="0"/>
        </w:rPr>
        <w:t>For CE mode A, HARQ ACK/NACK feedback bundling on PUCCH can be enabled or disabled by [RRC and/or DCI], when multiple DL transport blocks are assigned by a single DCI (details FFS). If the network does not enable it, each TB has its own separately encoded HARQ ACK/NACK feedback</w:t>
      </w:r>
    </w:p>
    <w:p w14:paraId="4717F6E5" w14:textId="77777777" w:rsidR="00364C98" w:rsidRDefault="00364C98" w:rsidP="00364C98">
      <w:pPr>
        <w:numPr>
          <w:ilvl w:val="0"/>
          <w:numId w:val="41"/>
        </w:numPr>
        <w:spacing w:after="0"/>
        <w:rPr>
          <w:lang w:eastAsia="x-none"/>
        </w:rPr>
      </w:pPr>
      <w:r>
        <w:rPr>
          <w:rFonts w:cs="Arial"/>
        </w:rPr>
        <w:t>FFS: Maximum bundle size</w:t>
      </w:r>
    </w:p>
    <w:p w14:paraId="7D67788B" w14:textId="77777777" w:rsidR="00364C98" w:rsidRDefault="00364C98" w:rsidP="00364C98">
      <w:pPr>
        <w:rPr>
          <w:lang w:eastAsia="x-none"/>
        </w:rPr>
      </w:pPr>
    </w:p>
    <w:p w14:paraId="05886609" w14:textId="77777777" w:rsidR="00364C98" w:rsidRDefault="00364C98" w:rsidP="00364C98">
      <w:pPr>
        <w:rPr>
          <w:b/>
          <w:highlight w:val="green"/>
          <w:lang w:eastAsia="x-none"/>
        </w:rPr>
      </w:pPr>
      <w:r>
        <w:rPr>
          <w:b/>
          <w:highlight w:val="green"/>
          <w:lang w:eastAsia="x-none"/>
        </w:rPr>
        <w:t xml:space="preserve">Agreement </w:t>
      </w:r>
    </w:p>
    <w:p w14:paraId="5CBF0C5C" w14:textId="77777777" w:rsidR="00364C98" w:rsidRPr="00731218" w:rsidRDefault="00364C98" w:rsidP="00364C98">
      <w:pPr>
        <w:pStyle w:val="Proposal"/>
        <w:overflowPunct/>
        <w:autoSpaceDE/>
        <w:adjustRightInd/>
        <w:spacing w:after="0"/>
        <w:ind w:left="0" w:firstLine="0"/>
        <w:jc w:val="left"/>
        <w:rPr>
          <w:b w:val="0"/>
          <w:lang w:eastAsia="en-US"/>
        </w:rPr>
      </w:pPr>
      <w:r w:rsidRPr="00731218">
        <w:rPr>
          <w:b w:val="0"/>
        </w:rPr>
        <w:t xml:space="preserve">For the DL unicast for a UE, when multiple TBs are scheduled by one DCI, the parameter value for number of </w:t>
      </w:r>
      <w:r w:rsidRPr="00731218">
        <w:rPr>
          <w:rFonts w:cs="Arial"/>
          <w:b w:val="0"/>
        </w:rPr>
        <w:t>PDSCH</w:t>
      </w:r>
      <w:r w:rsidRPr="00731218">
        <w:rPr>
          <w:b w:val="0"/>
        </w:rPr>
        <w:t xml:space="preserve"> repetitions is the same across all the TBs scheduled by that DCI, and there is only a single parameter field for number of MPDCCH repetitions and only a single parameter field for SRS request.</w:t>
      </w:r>
    </w:p>
    <w:p w14:paraId="2849FBE4" w14:textId="77777777" w:rsidR="00364C98" w:rsidRDefault="00364C98" w:rsidP="00364C98">
      <w:pPr>
        <w:rPr>
          <w:lang w:eastAsia="x-none"/>
        </w:rPr>
      </w:pPr>
    </w:p>
    <w:p w14:paraId="395124D5" w14:textId="77777777" w:rsidR="00364C98" w:rsidRDefault="00364C98" w:rsidP="00364C98">
      <w:pPr>
        <w:rPr>
          <w:b/>
          <w:highlight w:val="green"/>
          <w:lang w:eastAsia="x-none"/>
        </w:rPr>
      </w:pPr>
      <w:r>
        <w:rPr>
          <w:b/>
          <w:highlight w:val="green"/>
          <w:lang w:eastAsia="x-none"/>
        </w:rPr>
        <w:t xml:space="preserve">Agreement </w:t>
      </w:r>
    </w:p>
    <w:p w14:paraId="70B14FE6" w14:textId="78FED265" w:rsidR="00364C98" w:rsidRDefault="00364C98" w:rsidP="00364C98">
      <w:pPr>
        <w:rPr>
          <w:rFonts w:eastAsia="MS Mincho"/>
          <w:lang w:val="en-US"/>
        </w:rPr>
      </w:pPr>
      <w:r w:rsidRPr="00731218">
        <w:t>For scheduling of multiple TBs with SC-MTCH, the same parameter values for {</w:t>
      </w:r>
      <w:r w:rsidRPr="00731218">
        <w:rPr>
          <w:rFonts w:cs="Arial"/>
        </w:rPr>
        <w:t>MCS, resource assignment, number of repetitions}</w:t>
      </w:r>
      <w:r w:rsidRPr="00731218">
        <w:t xml:space="preserve"> is used for all TBs</w:t>
      </w:r>
    </w:p>
    <w:p w14:paraId="5A65889B" w14:textId="04367D47" w:rsidR="00364C98" w:rsidRDefault="00364C98" w:rsidP="004D5BF4">
      <w:pPr>
        <w:rPr>
          <w:rFonts w:eastAsia="MS Mincho"/>
          <w:lang w:val="en-US"/>
        </w:rPr>
      </w:pPr>
    </w:p>
    <w:p w14:paraId="2FED1BB7" w14:textId="77777777" w:rsidR="00310ED0" w:rsidRPr="00310ED0" w:rsidRDefault="00310ED0" w:rsidP="00310ED0">
      <w:pPr>
        <w:ind w:left="720"/>
        <w:rPr>
          <w:i/>
          <w:lang w:val="en-US" w:eastAsia="x-none"/>
        </w:rPr>
      </w:pPr>
    </w:p>
    <w:p w14:paraId="43421FB4" w14:textId="626C8718" w:rsidR="00B45772" w:rsidRDefault="00B45772" w:rsidP="00855F39">
      <w:pPr>
        <w:rPr>
          <w:rFonts w:eastAsia="MS Mincho"/>
          <w:lang w:val="en-US"/>
        </w:rPr>
      </w:pPr>
      <w:r>
        <w:rPr>
          <w:rFonts w:eastAsia="MS Mincho"/>
          <w:lang w:val="en-US"/>
        </w:rPr>
        <w:t xml:space="preserve">The feature lead summary </w:t>
      </w:r>
      <w:r w:rsidR="00A3558A">
        <w:rPr>
          <w:rFonts w:eastAsia="MS Mincho"/>
          <w:lang w:val="en-US"/>
        </w:rPr>
        <w:t>for the RAN1#96</w:t>
      </w:r>
      <w:r w:rsidR="00364C98">
        <w:rPr>
          <w:rFonts w:eastAsia="MS Mincho"/>
          <w:lang w:val="en-US"/>
        </w:rPr>
        <w:t>bis</w:t>
      </w:r>
      <w:r w:rsidR="00A3558A">
        <w:rPr>
          <w:rFonts w:eastAsia="MS Mincho"/>
          <w:lang w:val="en-US"/>
        </w:rPr>
        <w:t xml:space="preserve"> </w:t>
      </w:r>
      <w:r w:rsidR="00364C98">
        <w:rPr>
          <w:rFonts w:eastAsia="MS Mincho"/>
          <w:lang w:val="en-US"/>
        </w:rPr>
        <w:t>Xian</w:t>
      </w:r>
      <w:r w:rsidR="00A3558A">
        <w:rPr>
          <w:rFonts w:eastAsia="MS Mincho"/>
          <w:lang w:val="en-US"/>
        </w:rPr>
        <w:t xml:space="preserve"> meeting was provided in [2].</w:t>
      </w:r>
    </w:p>
    <w:p w14:paraId="45480B1C" w14:textId="00D695EC" w:rsidR="00466C8C" w:rsidRDefault="004D5BF4" w:rsidP="00855F39">
      <w:pPr>
        <w:rPr>
          <w:rFonts w:eastAsia="MS Mincho"/>
          <w:lang w:val="en-US"/>
        </w:rPr>
      </w:pPr>
      <w:r>
        <w:rPr>
          <w:rFonts w:eastAsia="MS Mincho"/>
          <w:lang w:val="en-US"/>
        </w:rPr>
        <w:lastRenderedPageBreak/>
        <w:t xml:space="preserve">This contribution </w:t>
      </w:r>
      <w:r w:rsidR="00F912B3">
        <w:rPr>
          <w:rFonts w:eastAsia="MS Mincho"/>
          <w:lang w:val="en-US"/>
        </w:rPr>
        <w:t xml:space="preserve">discusses </w:t>
      </w:r>
      <w:r w:rsidR="00DB0C2A">
        <w:rPr>
          <w:rFonts w:eastAsia="MS Mincho"/>
          <w:lang w:val="en-US"/>
        </w:rPr>
        <w:t xml:space="preserve">the following </w:t>
      </w:r>
      <w:r w:rsidR="005C19D9">
        <w:rPr>
          <w:rFonts w:eastAsia="MS Mincho"/>
          <w:lang w:val="en-US"/>
        </w:rPr>
        <w:t xml:space="preserve">remaining </w:t>
      </w:r>
      <w:r w:rsidR="00DB0C2A">
        <w:rPr>
          <w:rFonts w:eastAsia="MS Mincho"/>
          <w:lang w:val="en-US"/>
        </w:rPr>
        <w:t>issues</w:t>
      </w:r>
      <w:r w:rsidR="00F912B3">
        <w:rPr>
          <w:rFonts w:eastAsia="MS Mincho"/>
          <w:lang w:val="en-US"/>
        </w:rPr>
        <w:t xml:space="preserve"> on</w:t>
      </w:r>
      <w:r w:rsidR="005C19D9">
        <w:rPr>
          <w:rFonts w:eastAsia="MS Mincho"/>
          <w:lang w:val="en-US"/>
        </w:rPr>
        <w:t xml:space="preserve"> </w:t>
      </w:r>
      <w:r w:rsidR="00DB0C2A">
        <w:rPr>
          <w:rFonts w:eastAsia="MS Mincho"/>
          <w:lang w:val="en-US"/>
        </w:rPr>
        <w:t>scheduling of multiple DL / UL transport blocks</w:t>
      </w:r>
      <w:r w:rsidR="00466C8C">
        <w:rPr>
          <w:rFonts w:eastAsia="MS Mincho"/>
          <w:lang w:val="en-US"/>
        </w:rPr>
        <w:t>:</w:t>
      </w:r>
    </w:p>
    <w:p w14:paraId="4E80DE3E" w14:textId="0132D447" w:rsidR="00587AD5" w:rsidRPr="00792E00" w:rsidRDefault="00A3558A" w:rsidP="00587AD5">
      <w:pPr>
        <w:pStyle w:val="ListParagraph"/>
        <w:numPr>
          <w:ilvl w:val="0"/>
          <w:numId w:val="30"/>
        </w:numPr>
        <w:rPr>
          <w:rFonts w:eastAsia="MS Mincho"/>
          <w:lang w:val="en-US"/>
        </w:rPr>
      </w:pPr>
      <w:r w:rsidRPr="00792E00">
        <w:rPr>
          <w:rFonts w:eastAsia="MS Mincho"/>
          <w:lang w:val="en-US"/>
        </w:rPr>
        <w:t>Use of scheduling gaps for multiple TBs</w:t>
      </w:r>
      <w:r w:rsidR="00855F39" w:rsidRPr="00792E00">
        <w:rPr>
          <w:rFonts w:eastAsia="MS Mincho"/>
          <w:lang w:val="en-US"/>
        </w:rPr>
        <w:t xml:space="preserve"> </w:t>
      </w:r>
    </w:p>
    <w:p w14:paraId="58B3DC9D" w14:textId="6A43C027" w:rsidR="00A3558A" w:rsidRPr="00A435BB" w:rsidRDefault="00A3558A" w:rsidP="00466C8C">
      <w:pPr>
        <w:pStyle w:val="ListParagraph"/>
        <w:numPr>
          <w:ilvl w:val="0"/>
          <w:numId w:val="30"/>
        </w:numPr>
        <w:rPr>
          <w:rFonts w:eastAsia="MS Mincho"/>
          <w:lang w:val="en-US"/>
        </w:rPr>
      </w:pPr>
      <w:r w:rsidRPr="00A435BB">
        <w:rPr>
          <w:rFonts w:eastAsia="MS Mincho"/>
          <w:lang w:val="en-US"/>
        </w:rPr>
        <w:t xml:space="preserve">Multiplexing </w:t>
      </w:r>
      <w:r w:rsidR="0023629F" w:rsidRPr="00A435BB">
        <w:rPr>
          <w:rFonts w:eastAsia="MS Mincho"/>
          <w:lang w:val="en-US"/>
        </w:rPr>
        <w:t xml:space="preserve">/ bundling </w:t>
      </w:r>
      <w:r w:rsidRPr="00A435BB">
        <w:rPr>
          <w:rFonts w:eastAsia="MS Mincho"/>
          <w:lang w:val="en-US"/>
        </w:rPr>
        <w:t>of HARQ ACK/NACK feedback</w:t>
      </w:r>
      <w:r w:rsidR="0023629F" w:rsidRPr="00A435BB">
        <w:rPr>
          <w:rFonts w:eastAsia="MS Mincho"/>
          <w:lang w:val="en-US"/>
        </w:rPr>
        <w:t xml:space="preserve"> </w:t>
      </w:r>
    </w:p>
    <w:p w14:paraId="44C1F1F6" w14:textId="3BBD2621" w:rsidR="00855F39" w:rsidRPr="00A435BB" w:rsidRDefault="00154A2B" w:rsidP="00855F39">
      <w:pPr>
        <w:pStyle w:val="ListParagraph"/>
        <w:numPr>
          <w:ilvl w:val="0"/>
          <w:numId w:val="30"/>
        </w:numPr>
        <w:rPr>
          <w:rFonts w:eastAsia="MS Mincho"/>
          <w:lang w:val="en-US"/>
        </w:rPr>
      </w:pPr>
      <w:r>
        <w:rPr>
          <w:rFonts w:eastAsia="MS Mincho"/>
          <w:lang w:val="en-US"/>
        </w:rPr>
        <w:t>Features from previous releases that can be configured with multiple transport block groups</w:t>
      </w:r>
    </w:p>
    <w:p w14:paraId="5F6C52D1" w14:textId="00E9A77B" w:rsidR="00F912B3" w:rsidRDefault="00A3558A" w:rsidP="00F912B3">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rPr>
          <w:rFonts w:eastAsia="MS Mincho"/>
          <w:lang w:val="en-US"/>
        </w:rPr>
      </w:pPr>
      <w:r>
        <w:t>Use of scheduling gaps for multiple TBs</w:t>
      </w:r>
    </w:p>
    <w:p w14:paraId="3AEA08AF" w14:textId="0428C039" w:rsidR="00922FEA" w:rsidRPr="00CA6F42" w:rsidRDefault="00922FEA" w:rsidP="0041482F">
      <w:pPr>
        <w:rPr>
          <w:lang w:val="en-US"/>
        </w:rPr>
      </w:pPr>
      <w:r w:rsidRPr="00CA6F42">
        <w:rPr>
          <w:lang w:val="en-US"/>
        </w:rPr>
        <w:t xml:space="preserve">In [3], we considered whether scheduling gaps should be supported for MTBG. Our concerns were </w:t>
      </w:r>
      <w:proofErr w:type="spellStart"/>
      <w:r w:rsidRPr="00CA6F42">
        <w:rPr>
          <w:lang w:val="en-US"/>
        </w:rPr>
        <w:t>centred</w:t>
      </w:r>
      <w:proofErr w:type="spellEnd"/>
      <w:r w:rsidRPr="00CA6F42">
        <w:rPr>
          <w:lang w:val="en-US"/>
        </w:rPr>
        <w:t xml:space="preserve"> around:</w:t>
      </w:r>
    </w:p>
    <w:p w14:paraId="2A630E72" w14:textId="0FE65640" w:rsidR="00922FEA" w:rsidRPr="00CA6F42" w:rsidRDefault="00ED0DE9" w:rsidP="00ED0DE9">
      <w:pPr>
        <w:pStyle w:val="ListParagraph"/>
        <w:numPr>
          <w:ilvl w:val="0"/>
          <w:numId w:val="43"/>
        </w:numPr>
        <w:rPr>
          <w:lang w:val="en-US"/>
        </w:rPr>
      </w:pPr>
      <w:r w:rsidRPr="00CA6F42">
        <w:rPr>
          <w:lang w:val="en-US"/>
        </w:rPr>
        <w:t xml:space="preserve">Increased transmission delay. </w:t>
      </w:r>
      <w:r w:rsidRPr="00CA6F42">
        <w:rPr>
          <w:lang w:val="en-US"/>
        </w:rPr>
        <w:t>Although some MTC applications are insensitive to delay, this is not true of all applications, for example considering wearable applications. Unnecessarily increasing transmission delay is hence undesirable.</w:t>
      </w:r>
    </w:p>
    <w:p w14:paraId="147F54A5" w14:textId="152C8EE7" w:rsidR="00ED0DE9" w:rsidRPr="00CA6F42" w:rsidRDefault="00ED0DE9" w:rsidP="00ED0DE9">
      <w:pPr>
        <w:pStyle w:val="ListParagraph"/>
        <w:numPr>
          <w:ilvl w:val="0"/>
          <w:numId w:val="43"/>
        </w:numPr>
        <w:rPr>
          <w:lang w:val="en-US"/>
        </w:rPr>
      </w:pPr>
      <w:r w:rsidRPr="00CA6F42">
        <w:rPr>
          <w:lang w:val="en-US"/>
        </w:rPr>
        <w:t xml:space="preserve">Power consumption. </w:t>
      </w:r>
      <w:r w:rsidRPr="00CA6F42">
        <w:rPr>
          <w:lang w:val="en-US"/>
        </w:rPr>
        <w:t>Increasing the length of the transmission will increase the time that the UE modem is “on”. Even when not transmitting or receiving, power is consumed in the modem due to modem overheads. Depending on the length of transmission gap, the UE may not be able to enter a particularly low-power sleep state and transitioning between sleep state and wake state incurs an energy cost</w:t>
      </w:r>
      <w:r w:rsidRPr="00CA6F42">
        <w:rPr>
          <w:lang w:val="en-US"/>
        </w:rPr>
        <w:t>.</w:t>
      </w:r>
    </w:p>
    <w:p w14:paraId="6972F1F5" w14:textId="4DF85FB2" w:rsidR="00ED0DE9" w:rsidRPr="00CA6F42" w:rsidRDefault="00ED0DE9" w:rsidP="00ED0DE9">
      <w:pPr>
        <w:rPr>
          <w:lang w:val="en-US"/>
        </w:rPr>
      </w:pPr>
      <w:r w:rsidRPr="00CA6F42">
        <w:rPr>
          <w:lang w:val="en-US"/>
        </w:rPr>
        <w:t>Scheduling gaps however have the following advantages:</w:t>
      </w:r>
    </w:p>
    <w:p w14:paraId="38402027" w14:textId="021030FB" w:rsidR="00ED0DE9" w:rsidRPr="00CA6F42" w:rsidRDefault="00ED0DE9" w:rsidP="00ED0DE9">
      <w:pPr>
        <w:pStyle w:val="ListParagraph"/>
        <w:numPr>
          <w:ilvl w:val="0"/>
          <w:numId w:val="43"/>
        </w:numPr>
        <w:rPr>
          <w:lang w:val="en-US"/>
        </w:rPr>
      </w:pPr>
      <w:r w:rsidRPr="00CA6F42">
        <w:rPr>
          <w:lang w:val="en-US"/>
        </w:rPr>
        <w:t>Scheduling flexibility</w:t>
      </w:r>
      <w:r w:rsidRPr="00CA6F42">
        <w:rPr>
          <w:lang w:val="en-US"/>
        </w:rPr>
        <w:t xml:space="preserve">. </w:t>
      </w:r>
      <w:r w:rsidRPr="00CA6F42">
        <w:rPr>
          <w:lang w:val="en-US"/>
        </w:rPr>
        <w:t>Supporting gaps allows other UEs to be scheduled in the gaps</w:t>
      </w:r>
      <w:r w:rsidRPr="00CA6F42">
        <w:rPr>
          <w:lang w:val="en-US"/>
        </w:rPr>
        <w:t>.</w:t>
      </w:r>
      <w:r w:rsidRPr="00CA6F42">
        <w:rPr>
          <w:lang w:val="en-US"/>
        </w:rPr>
        <w:t xml:space="preserve"> Without scheduling gaps, the </w:t>
      </w:r>
      <w:proofErr w:type="spellStart"/>
      <w:r w:rsidRPr="00CA6F42">
        <w:rPr>
          <w:lang w:val="en-US"/>
        </w:rPr>
        <w:t>eNB</w:t>
      </w:r>
      <w:proofErr w:type="spellEnd"/>
      <w:r w:rsidRPr="00CA6F42">
        <w:rPr>
          <w:lang w:val="en-US"/>
        </w:rPr>
        <w:t xml:space="preserve"> scheduler would have to make long term predictions / guesses </w:t>
      </w:r>
      <w:r w:rsidR="00246E52">
        <w:rPr>
          <w:lang w:val="en-US"/>
        </w:rPr>
        <w:t xml:space="preserve">regarding </w:t>
      </w:r>
      <w:proofErr w:type="gramStart"/>
      <w:r w:rsidR="00246E52">
        <w:rPr>
          <w:lang w:val="en-US"/>
        </w:rPr>
        <w:t>whether or</w:t>
      </w:r>
      <w:r w:rsidRPr="00CA6F42">
        <w:rPr>
          <w:lang w:val="en-US"/>
        </w:rPr>
        <w:t xml:space="preserve"> not</w:t>
      </w:r>
      <w:proofErr w:type="gramEnd"/>
      <w:r w:rsidRPr="00CA6F42">
        <w:rPr>
          <w:lang w:val="en-US"/>
        </w:rPr>
        <w:t xml:space="preserve"> </w:t>
      </w:r>
      <w:r w:rsidR="00246E52">
        <w:rPr>
          <w:lang w:val="en-US"/>
        </w:rPr>
        <w:t xml:space="preserve">it is </w:t>
      </w:r>
      <w:r w:rsidRPr="00CA6F42">
        <w:rPr>
          <w:lang w:val="en-US"/>
        </w:rPr>
        <w:t xml:space="preserve">going to want to schedule other UEs during the period of the MTBG transmission. </w:t>
      </w:r>
    </w:p>
    <w:p w14:paraId="0F1E4C51" w14:textId="371C07DA" w:rsidR="00ED0DE9" w:rsidRPr="00CA6F42" w:rsidRDefault="00ED0DE9" w:rsidP="00ED0DE9">
      <w:pPr>
        <w:pStyle w:val="ListParagraph"/>
        <w:numPr>
          <w:ilvl w:val="0"/>
          <w:numId w:val="43"/>
        </w:numPr>
        <w:rPr>
          <w:lang w:val="en-US"/>
        </w:rPr>
      </w:pPr>
      <w:r w:rsidRPr="00CA6F42">
        <w:rPr>
          <w:lang w:val="en-US"/>
        </w:rPr>
        <w:t>Support for early termination</w:t>
      </w:r>
      <w:r w:rsidRPr="00CA6F42">
        <w:rPr>
          <w:lang w:val="en-US"/>
        </w:rPr>
        <w:t xml:space="preserve">. </w:t>
      </w:r>
      <w:r w:rsidRPr="00CA6F42">
        <w:rPr>
          <w:lang w:val="en-US"/>
        </w:rPr>
        <w:t xml:space="preserve">When scheduling gaps are used with interleaving, an HD-FDD UE or base station can signal successful receipt of transport blocks within the MTBG transmission, hence allowing for early termination of DL or UL transmissions. This can </w:t>
      </w:r>
      <w:r w:rsidR="00CA6F42" w:rsidRPr="00CA6F42">
        <w:rPr>
          <w:lang w:val="en-US"/>
        </w:rPr>
        <w:t>reduce power consumption</w:t>
      </w:r>
      <w:r w:rsidRPr="00CA6F42">
        <w:rPr>
          <w:lang w:val="en-US"/>
        </w:rPr>
        <w:t xml:space="preserve"> at the UE.</w:t>
      </w:r>
    </w:p>
    <w:p w14:paraId="4C7BFFFD" w14:textId="72570F66" w:rsidR="00ED0DE9" w:rsidRDefault="00CA6F42" w:rsidP="00ED0DE9">
      <w:pPr>
        <w:rPr>
          <w:lang w:val="en-US"/>
        </w:rPr>
      </w:pPr>
      <w:r w:rsidRPr="00CA6F42">
        <w:rPr>
          <w:lang w:val="en-US"/>
        </w:rPr>
        <w:t>We are not so convinced about the benefits of time diversity with scheduling gaps: time diversity can, in any case, be achieved with interleaved transmissions.</w:t>
      </w:r>
    </w:p>
    <w:p w14:paraId="10F6A4E2" w14:textId="0F6F71B6" w:rsidR="00CA6F42" w:rsidRPr="00CA6F42" w:rsidRDefault="00CA6F42" w:rsidP="00ED0DE9">
      <w:pPr>
        <w:rPr>
          <w:lang w:val="en-US"/>
        </w:rPr>
      </w:pPr>
      <w:r>
        <w:rPr>
          <w:lang w:val="en-US"/>
        </w:rPr>
        <w:t xml:space="preserve">The negative effects of increased transmission delay and power consumption can be mitigated if the </w:t>
      </w:r>
      <w:proofErr w:type="spellStart"/>
      <w:r>
        <w:rPr>
          <w:lang w:val="en-US"/>
        </w:rPr>
        <w:t>eNodeB</w:t>
      </w:r>
      <w:proofErr w:type="spellEnd"/>
      <w:r>
        <w:rPr>
          <w:lang w:val="en-US"/>
        </w:rPr>
        <w:t xml:space="preserve"> can configure the scheduling gap. A zero-length scheduling gap leads to minimum transmission delay and power consumption. With this mitigation approach, the network can choose whether to optimize for transmission delay / power consumption or to optimize for scheduling flexibility / early termination. </w:t>
      </w:r>
      <w:proofErr w:type="gramStart"/>
      <w:r>
        <w:rPr>
          <w:lang w:val="en-US"/>
        </w:rPr>
        <w:t>Hence</w:t>
      </w:r>
      <w:proofErr w:type="gramEnd"/>
      <w:r>
        <w:rPr>
          <w:lang w:val="en-US"/>
        </w:rPr>
        <w:t xml:space="preserve"> we support a configurable scheduling gap, as per the following proposal:</w:t>
      </w:r>
    </w:p>
    <w:p w14:paraId="099CCF46" w14:textId="7F9861CF" w:rsidR="00792E00" w:rsidRDefault="00792E00" w:rsidP="0041482F">
      <w:pPr>
        <w:rPr>
          <w:lang w:val="en-US"/>
        </w:rPr>
      </w:pPr>
      <w:r w:rsidRPr="00792E00">
        <w:rPr>
          <w:b/>
          <w:lang w:val="en-US"/>
        </w:rPr>
        <w:t xml:space="preserve">Proposal </w:t>
      </w:r>
      <w:r w:rsidR="00CA5461">
        <w:rPr>
          <w:b/>
          <w:lang w:val="en-US"/>
        </w:rPr>
        <w:t>1:</w:t>
      </w:r>
      <w:r w:rsidRPr="00792E00">
        <w:rPr>
          <w:b/>
          <w:lang w:val="en-US"/>
        </w:rPr>
        <w:t xml:space="preserve"> Scheduling gaps for multiple transport blocks </w:t>
      </w:r>
      <w:r w:rsidR="00CA6F42">
        <w:rPr>
          <w:b/>
          <w:lang w:val="en-US"/>
        </w:rPr>
        <w:t>can be</w:t>
      </w:r>
      <w:r w:rsidRPr="00792E00">
        <w:rPr>
          <w:b/>
          <w:lang w:val="en-US"/>
        </w:rPr>
        <w:t xml:space="preserve"> supported</w:t>
      </w:r>
      <w:r w:rsidR="00CA6F42">
        <w:rPr>
          <w:b/>
          <w:lang w:val="en-US"/>
        </w:rPr>
        <w:t xml:space="preserve">, where </w:t>
      </w:r>
      <w:r w:rsidR="00A521CA">
        <w:rPr>
          <w:b/>
          <w:lang w:val="en-US"/>
        </w:rPr>
        <w:t>a</w:t>
      </w:r>
      <w:r w:rsidR="00CA6F42">
        <w:rPr>
          <w:b/>
          <w:lang w:val="en-US"/>
        </w:rPr>
        <w:t xml:space="preserve"> scheduling gap of between 0 and </w:t>
      </w:r>
      <w:proofErr w:type="spellStart"/>
      <w:r w:rsidR="00CA6F42" w:rsidRPr="00CA6F42">
        <w:rPr>
          <w:b/>
          <w:i/>
          <w:lang w:val="en-US"/>
        </w:rPr>
        <w:t>N</w:t>
      </w:r>
      <w:r w:rsidR="00CA6F42" w:rsidRPr="00CA6F42">
        <w:rPr>
          <w:b/>
          <w:i/>
          <w:vertAlign w:val="subscript"/>
          <w:lang w:val="en-US"/>
        </w:rPr>
        <w:t>schedgap</w:t>
      </w:r>
      <w:proofErr w:type="spellEnd"/>
      <w:r w:rsidR="00CA6F42">
        <w:rPr>
          <w:b/>
          <w:lang w:val="en-US"/>
        </w:rPr>
        <w:t xml:space="preserve"> subframes can be configured by [RRC or DCI]</w:t>
      </w:r>
      <w:r>
        <w:rPr>
          <w:lang w:val="en-US"/>
        </w:rPr>
        <w:t>.</w:t>
      </w:r>
    </w:p>
    <w:p w14:paraId="51811903" w14:textId="135A5B7A" w:rsidR="00CA5461" w:rsidRPr="00CA5461" w:rsidRDefault="0023629F" w:rsidP="00792E00">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rPr>
          <w:rFonts w:eastAsia="MS Mincho"/>
          <w:lang w:val="en-US"/>
        </w:rPr>
      </w:pPr>
      <w:r>
        <w:t>HARQ ACK / NACK feedback</w:t>
      </w:r>
    </w:p>
    <w:p w14:paraId="4BA92DE4" w14:textId="13ED3F42" w:rsidR="00E62C72" w:rsidRDefault="00296551" w:rsidP="00E62C72">
      <w:pPr>
        <w:rPr>
          <w:bCs/>
          <w:noProof/>
          <w:lang w:val="en-US" w:eastAsia="en-GB"/>
        </w:rPr>
      </w:pPr>
      <w:r>
        <w:rPr>
          <w:bCs/>
          <w:noProof/>
          <w:lang w:val="en-US" w:eastAsia="en-GB"/>
        </w:rPr>
        <w:t>HARQ bundling has been agreed to be supported in CE Mode A by RAN1 in RAN1#96bis</w:t>
      </w:r>
      <w:r w:rsidR="00792E00">
        <w:rPr>
          <w:bCs/>
          <w:noProof/>
          <w:lang w:val="en-US" w:eastAsia="en-GB"/>
        </w:rPr>
        <w:t>.</w:t>
      </w:r>
      <w:r>
        <w:rPr>
          <w:bCs/>
          <w:noProof/>
          <w:lang w:val="en-US" w:eastAsia="en-GB"/>
        </w:rPr>
        <w:t xml:space="preserve"> </w:t>
      </w:r>
      <w:r w:rsidR="00E62C72">
        <w:rPr>
          <w:bCs/>
          <w:noProof/>
          <w:lang w:val="en-US" w:eastAsia="en-GB"/>
        </w:rPr>
        <w:t xml:space="preserve">It was agreed in RAN1#94 that RAN1 would down-select between HARQ bundling and HARQ multiplexing. A consequence of the agreement to support HARQ bundling in CE mode A is hence that it has also been agreed to not support HARQ </w:t>
      </w:r>
      <w:r w:rsidR="00E62C72" w:rsidRPr="00A521CA">
        <w:rPr>
          <w:bCs/>
          <w:i/>
          <w:noProof/>
          <w:lang w:val="en-US" w:eastAsia="en-GB"/>
        </w:rPr>
        <w:t>multiplexing</w:t>
      </w:r>
      <w:r w:rsidR="00E62C72">
        <w:rPr>
          <w:bCs/>
          <w:noProof/>
          <w:lang w:val="en-US" w:eastAsia="en-GB"/>
        </w:rPr>
        <w:t xml:space="preserve"> in CE Mode A. </w:t>
      </w:r>
    </w:p>
    <w:p w14:paraId="72CB2A48" w14:textId="57D1AFEE" w:rsidR="00296551" w:rsidRPr="00E62C72" w:rsidRDefault="00E62C72" w:rsidP="00E62C72">
      <w:pPr>
        <w:rPr>
          <w:bCs/>
          <w:noProof/>
          <w:lang w:val="en-US" w:eastAsia="en-GB"/>
        </w:rPr>
      </w:pPr>
      <w:r>
        <w:rPr>
          <w:bCs/>
          <w:noProof/>
          <w:lang w:val="en-US" w:eastAsia="en-GB"/>
        </w:rPr>
        <w:t>It is</w:t>
      </w:r>
      <w:r w:rsidR="00296551">
        <w:rPr>
          <w:bCs/>
          <w:noProof/>
          <w:lang w:val="en-US" w:eastAsia="en-GB"/>
        </w:rPr>
        <w:t xml:space="preserve"> for further study</w:t>
      </w:r>
      <w:r>
        <w:rPr>
          <w:bCs/>
          <w:noProof/>
          <w:lang w:val="en-US" w:eastAsia="en-GB"/>
        </w:rPr>
        <w:t xml:space="preserve"> w</w:t>
      </w:r>
      <w:r w:rsidR="00296551" w:rsidRPr="00E62C72">
        <w:rPr>
          <w:bCs/>
          <w:noProof/>
          <w:lang w:val="en-US" w:eastAsia="en-GB"/>
        </w:rPr>
        <w:t>hether HARQ bundling or HARQ multiplexing are supported for CE Mode B</w:t>
      </w:r>
      <w:r>
        <w:rPr>
          <w:bCs/>
          <w:noProof/>
          <w:lang w:val="en-US" w:eastAsia="en-GB"/>
        </w:rPr>
        <w:t>.</w:t>
      </w:r>
    </w:p>
    <w:p w14:paraId="27AECF76" w14:textId="7DC9E67F" w:rsidR="00792E00" w:rsidRDefault="00792E00" w:rsidP="00792E00">
      <w:pPr>
        <w:rPr>
          <w:bCs/>
          <w:noProof/>
          <w:lang w:val="en-US" w:eastAsia="en-GB"/>
        </w:rPr>
      </w:pPr>
      <w:r w:rsidRPr="00922FEA">
        <w:rPr>
          <w:b/>
          <w:bCs/>
          <w:noProof/>
          <w:u w:val="single"/>
          <w:lang w:val="en-US" w:eastAsia="en-GB"/>
        </w:rPr>
        <w:t xml:space="preserve">HARQ </w:t>
      </w:r>
      <w:r w:rsidR="00296551" w:rsidRPr="00922FEA">
        <w:rPr>
          <w:b/>
          <w:bCs/>
          <w:noProof/>
          <w:u w:val="single"/>
          <w:lang w:val="en-US" w:eastAsia="en-GB"/>
        </w:rPr>
        <w:t xml:space="preserve">bundling vs </w:t>
      </w:r>
      <w:r w:rsidRPr="00922FEA">
        <w:rPr>
          <w:b/>
          <w:bCs/>
          <w:noProof/>
          <w:u w:val="single"/>
          <w:lang w:val="en-US" w:eastAsia="en-GB"/>
        </w:rPr>
        <w:t>multiplexing</w:t>
      </w:r>
      <w:r w:rsidR="00296551" w:rsidRPr="00922FEA">
        <w:rPr>
          <w:b/>
          <w:bCs/>
          <w:noProof/>
          <w:u w:val="single"/>
          <w:lang w:val="en-US" w:eastAsia="en-GB"/>
        </w:rPr>
        <w:t xml:space="preserve"> in CE Mode </w:t>
      </w:r>
      <w:r w:rsidR="00E62C72" w:rsidRPr="00922FEA">
        <w:rPr>
          <w:b/>
          <w:bCs/>
          <w:noProof/>
          <w:u w:val="single"/>
          <w:lang w:val="en-US" w:eastAsia="en-GB"/>
        </w:rPr>
        <w:t>B</w:t>
      </w:r>
      <w:r w:rsidRPr="00922FEA">
        <w:rPr>
          <w:bCs/>
          <w:noProof/>
          <w:lang w:val="en-US" w:eastAsia="en-GB"/>
        </w:rPr>
        <w:t>.</w:t>
      </w:r>
      <w:r>
        <w:rPr>
          <w:bCs/>
          <w:noProof/>
          <w:lang w:val="en-US" w:eastAsia="en-GB"/>
        </w:rPr>
        <w:t xml:space="preserve"> </w:t>
      </w:r>
    </w:p>
    <w:p w14:paraId="7859A885" w14:textId="34F63707" w:rsidR="00792E00" w:rsidRDefault="00792E00" w:rsidP="00792E00">
      <w:pPr>
        <w:rPr>
          <w:bCs/>
          <w:noProof/>
          <w:lang w:val="en-US" w:eastAsia="en-GB"/>
        </w:rPr>
      </w:pPr>
      <w:r>
        <w:rPr>
          <w:bCs/>
          <w:noProof/>
          <w:lang w:val="en-US" w:eastAsia="en-GB"/>
        </w:rPr>
        <w:t xml:space="preserve">The disadvantages with HARQ multiplexing </w:t>
      </w:r>
      <w:r w:rsidR="00B10D92">
        <w:rPr>
          <w:bCs/>
          <w:noProof/>
          <w:lang w:val="en-US" w:eastAsia="en-GB"/>
        </w:rPr>
        <w:t>were considered in [3]</w:t>
      </w:r>
      <w:r w:rsidR="00E62C72">
        <w:rPr>
          <w:bCs/>
          <w:noProof/>
          <w:lang w:val="en-US" w:eastAsia="en-GB"/>
        </w:rPr>
        <w:t xml:space="preserve"> and are listed below</w:t>
      </w:r>
      <w:r>
        <w:rPr>
          <w:bCs/>
          <w:noProof/>
          <w:lang w:val="en-US" w:eastAsia="en-GB"/>
        </w:rPr>
        <w:t>:</w:t>
      </w:r>
    </w:p>
    <w:p w14:paraId="22A30189" w14:textId="1B723B36" w:rsidR="00792E00" w:rsidRDefault="00792E00" w:rsidP="00792E00">
      <w:pPr>
        <w:numPr>
          <w:ilvl w:val="0"/>
          <w:numId w:val="37"/>
        </w:numPr>
        <w:rPr>
          <w:bCs/>
          <w:noProof/>
          <w:lang w:val="en-US" w:eastAsia="en-GB"/>
        </w:rPr>
      </w:pPr>
      <w:r>
        <w:rPr>
          <w:bCs/>
          <w:noProof/>
          <w:lang w:val="en-US" w:eastAsia="en-GB"/>
        </w:rPr>
        <w:t>The SNR performance of a PUCCH carrying multiplexed HARQ ACK / NACK is worse than that of a PUCCH carrying a single HARQ-bundled bit. This is because the processing gain is clearly smaller when PUCCH carries multiple bits. The SNR degradation needs to be compensated for with repetition.</w:t>
      </w:r>
      <w:r w:rsidR="00E62C72">
        <w:rPr>
          <w:bCs/>
          <w:noProof/>
          <w:lang w:val="en-US" w:eastAsia="en-GB"/>
        </w:rPr>
        <w:t xml:space="preserve"> The amount o</w:t>
      </w:r>
      <w:r w:rsidR="00A521CA">
        <w:rPr>
          <w:bCs/>
          <w:noProof/>
          <w:lang w:val="en-US" w:eastAsia="en-GB"/>
        </w:rPr>
        <w:t>f</w:t>
      </w:r>
      <w:r w:rsidR="00E62C72">
        <w:rPr>
          <w:bCs/>
          <w:noProof/>
          <w:lang w:val="en-US" w:eastAsia="en-GB"/>
        </w:rPr>
        <w:t xml:space="preserve"> repetition required (and the associated power consumption) is a bigger issue for CE Mode B than for CE Mode A.</w:t>
      </w:r>
    </w:p>
    <w:p w14:paraId="627EAB20" w14:textId="498BD182" w:rsidR="00792E00" w:rsidRDefault="00E62C72" w:rsidP="00792E00">
      <w:pPr>
        <w:numPr>
          <w:ilvl w:val="0"/>
          <w:numId w:val="37"/>
        </w:numPr>
        <w:rPr>
          <w:bCs/>
          <w:noProof/>
          <w:lang w:val="en-US" w:eastAsia="en-GB"/>
        </w:rPr>
      </w:pPr>
      <w:r>
        <w:rPr>
          <w:bCs/>
          <w:noProof/>
          <w:lang w:val="en-US" w:eastAsia="en-GB"/>
        </w:rPr>
        <w:lastRenderedPageBreak/>
        <w:t>While there are some specification impacts with supporting HARQ bundling, RAN1 has already committed to making these specification changes (according to the RAN1#96bis agreements)</w:t>
      </w:r>
      <w:r w:rsidR="00792E00">
        <w:rPr>
          <w:bCs/>
          <w:noProof/>
          <w:lang w:val="en-US" w:eastAsia="en-GB"/>
        </w:rPr>
        <w:t>.</w:t>
      </w:r>
      <w:r>
        <w:rPr>
          <w:bCs/>
          <w:noProof/>
          <w:lang w:val="en-US" w:eastAsia="en-GB"/>
        </w:rPr>
        <w:t xml:space="preserve"> It seems to be unnecessary to make additional specification changes for additionally supporting HARQ multiplexing. </w:t>
      </w:r>
    </w:p>
    <w:p w14:paraId="13F14DE8" w14:textId="45E7A553" w:rsidR="00E62C72" w:rsidRDefault="00E62C72" w:rsidP="00E62C72">
      <w:pPr>
        <w:rPr>
          <w:bCs/>
          <w:noProof/>
          <w:lang w:val="en-US" w:eastAsia="en-GB"/>
        </w:rPr>
      </w:pPr>
      <w:r w:rsidRPr="00657549">
        <w:rPr>
          <w:b/>
          <w:bCs/>
          <w:noProof/>
          <w:lang w:val="en-US" w:eastAsia="en-GB"/>
        </w:rPr>
        <w:t xml:space="preserve">Proposal </w:t>
      </w:r>
      <w:r w:rsidR="00A521CA">
        <w:rPr>
          <w:b/>
          <w:bCs/>
          <w:noProof/>
          <w:lang w:val="en-US" w:eastAsia="en-GB"/>
        </w:rPr>
        <w:t>2</w:t>
      </w:r>
      <w:r w:rsidRPr="00657549">
        <w:rPr>
          <w:b/>
          <w:bCs/>
          <w:noProof/>
          <w:lang w:val="en-US" w:eastAsia="en-GB"/>
        </w:rPr>
        <w:t>: HARQ bundling is supported for CE Mode B for the MTBG feature</w:t>
      </w:r>
      <w:r>
        <w:rPr>
          <w:bCs/>
          <w:noProof/>
          <w:lang w:val="en-US" w:eastAsia="en-GB"/>
        </w:rPr>
        <w:t>.</w:t>
      </w:r>
    </w:p>
    <w:p w14:paraId="4B2C53F2" w14:textId="77777777" w:rsidR="00E62C72" w:rsidRDefault="00E62C72" w:rsidP="00E62C72">
      <w:pPr>
        <w:rPr>
          <w:bCs/>
          <w:noProof/>
          <w:lang w:val="en-US" w:eastAsia="en-GB"/>
        </w:rPr>
      </w:pPr>
    </w:p>
    <w:p w14:paraId="3077D9F8" w14:textId="665AEEE6" w:rsidR="00792E00" w:rsidRDefault="00792E00" w:rsidP="00792E00">
      <w:pPr>
        <w:rPr>
          <w:bCs/>
          <w:noProof/>
          <w:lang w:val="en-US" w:eastAsia="en-GB"/>
        </w:rPr>
      </w:pPr>
      <w:r w:rsidRPr="00736356">
        <w:rPr>
          <w:b/>
          <w:bCs/>
          <w:noProof/>
          <w:u w:val="single"/>
          <w:lang w:val="en-US" w:eastAsia="en-GB"/>
        </w:rPr>
        <w:t>HARQ bundling</w:t>
      </w:r>
      <w:r w:rsidR="00E62C72">
        <w:rPr>
          <w:b/>
          <w:bCs/>
          <w:noProof/>
          <w:u w:val="single"/>
          <w:lang w:val="en-US" w:eastAsia="en-GB"/>
        </w:rPr>
        <w:t xml:space="preserve"> size</w:t>
      </w:r>
      <w:r>
        <w:rPr>
          <w:bCs/>
          <w:noProof/>
          <w:lang w:val="en-US" w:eastAsia="en-GB"/>
        </w:rPr>
        <w:t>.</w:t>
      </w:r>
    </w:p>
    <w:p w14:paraId="00F1D5CA" w14:textId="6166D477" w:rsidR="00792E00" w:rsidRDefault="00792E00" w:rsidP="00792E00">
      <w:pPr>
        <w:rPr>
          <w:bCs/>
          <w:noProof/>
          <w:lang w:val="en-US" w:eastAsia="en-GB"/>
        </w:rPr>
      </w:pPr>
      <w:r>
        <w:rPr>
          <w:bCs/>
          <w:noProof/>
          <w:lang w:val="en-US" w:eastAsia="en-GB"/>
        </w:rPr>
        <w:t>When HARQ bundling is applied, all of the ACK-NACK bits for the individual transport blocks are combined via a logical-AND operation. If one of the transport blocks is in error, then the whole HARQ bundle is reported as NACK and is subject to re-transmission. Hence it is not productive to have an overly large HARQ bundle size.  The probability of a bundled-HARQ reporting NACK depends on the bundle size, ‘n’</w:t>
      </w:r>
      <w:r w:rsidR="00CC4DE0">
        <w:rPr>
          <w:bCs/>
          <w:noProof/>
          <w:lang w:val="en-US" w:eastAsia="en-GB"/>
        </w:rPr>
        <w:t>,</w:t>
      </w:r>
      <w:r>
        <w:rPr>
          <w:bCs/>
          <w:noProof/>
          <w:lang w:val="en-US" w:eastAsia="en-GB"/>
        </w:rPr>
        <w:t xml:space="preserve"> and the PDSCH BLER. Assuming PDSCH transport blocks are subject to failure independently, the probability of the HARQ-bundle reporting NACK is:</w:t>
      </w:r>
    </w:p>
    <w:p w14:paraId="58A35FED" w14:textId="77777777" w:rsidR="00792E00" w:rsidRDefault="001A1DF1" w:rsidP="00792E00">
      <w:pPr>
        <w:rPr>
          <w:bCs/>
          <w:noProof/>
          <w:lang w:val="en-US" w:eastAsia="en-GB"/>
        </w:rPr>
      </w:pPr>
      <m:oMath>
        <m:sSub>
          <m:sSubPr>
            <m:ctrlPr>
              <w:rPr>
                <w:rFonts w:ascii="Cambria Math" w:hAnsi="Cambria Math"/>
                <w:bCs/>
                <w:noProof/>
                <w:lang w:val="en-US" w:eastAsia="en-GB"/>
              </w:rPr>
            </m:ctrlPr>
          </m:sSubPr>
          <m:e>
            <m:r>
              <w:rPr>
                <w:rFonts w:ascii="Cambria Math" w:hAnsi="Cambria Math"/>
                <w:noProof/>
                <w:lang w:val="en-US" w:eastAsia="en-GB"/>
              </w:rPr>
              <m:t>P</m:t>
            </m:r>
          </m:e>
          <m:sub>
            <m:r>
              <w:rPr>
                <w:rFonts w:ascii="Cambria Math" w:hAnsi="Cambria Math"/>
                <w:noProof/>
                <w:lang w:val="en-US" w:eastAsia="en-GB"/>
              </w:rPr>
              <m:t>nack</m:t>
            </m:r>
          </m:sub>
        </m:sSub>
        <m:r>
          <w:rPr>
            <w:rFonts w:ascii="Cambria Math" w:hAnsi="Cambria Math"/>
            <w:noProof/>
            <w:lang w:val="en-US" w:eastAsia="en-GB"/>
          </w:rPr>
          <m:t>=1-</m:t>
        </m:r>
        <m:sSup>
          <m:sSupPr>
            <m:ctrlPr>
              <w:rPr>
                <w:rFonts w:ascii="Cambria Math" w:hAnsi="Cambria Math"/>
                <w:bCs/>
                <w:i/>
                <w:noProof/>
                <w:lang w:val="en-US" w:eastAsia="en-GB"/>
              </w:rPr>
            </m:ctrlPr>
          </m:sSupPr>
          <m:e>
            <m:d>
              <m:dPr>
                <m:ctrlPr>
                  <w:rPr>
                    <w:rFonts w:ascii="Cambria Math" w:hAnsi="Cambria Math"/>
                    <w:bCs/>
                    <w:i/>
                    <w:noProof/>
                    <w:lang w:val="en-US" w:eastAsia="en-GB"/>
                  </w:rPr>
                </m:ctrlPr>
              </m:dPr>
              <m:e>
                <m:r>
                  <w:rPr>
                    <w:rFonts w:ascii="Cambria Math" w:hAnsi="Cambria Math"/>
                    <w:noProof/>
                    <w:lang w:val="en-US" w:eastAsia="en-GB"/>
                  </w:rPr>
                  <m:t>1-BLER</m:t>
                </m:r>
              </m:e>
            </m:d>
          </m:e>
          <m:sup>
            <m:r>
              <w:rPr>
                <w:rFonts w:ascii="Cambria Math" w:hAnsi="Cambria Math"/>
                <w:noProof/>
                <w:lang w:val="en-US" w:eastAsia="en-GB"/>
              </w:rPr>
              <m:t>n</m:t>
            </m:r>
          </m:sup>
        </m:sSup>
      </m:oMath>
      <w:r w:rsidR="00792E00">
        <w:rPr>
          <w:bCs/>
          <w:noProof/>
          <w:lang w:val="en-US" w:eastAsia="en-GB"/>
        </w:rPr>
        <w:t xml:space="preserve"> </w:t>
      </w:r>
    </w:p>
    <w:p w14:paraId="0EA3F41F" w14:textId="5093DF30" w:rsidR="00792E00" w:rsidRDefault="00792E00" w:rsidP="00792E00">
      <w:pPr>
        <w:rPr>
          <w:bCs/>
          <w:noProof/>
          <w:lang w:val="en-US" w:eastAsia="en-GB"/>
        </w:rPr>
      </w:pPr>
      <w:r>
        <w:rPr>
          <w:bCs/>
          <w:noProof/>
          <w:lang w:val="en-US" w:eastAsia="en-GB"/>
        </w:rPr>
        <w:t xml:space="preserve">As shown in </w:t>
      </w:r>
      <w:r>
        <w:rPr>
          <w:bCs/>
          <w:noProof/>
          <w:lang w:val="en-US" w:eastAsia="en-GB"/>
        </w:rPr>
        <w:fldChar w:fldCharType="begin"/>
      </w:r>
      <w:r>
        <w:rPr>
          <w:bCs/>
          <w:noProof/>
          <w:lang w:val="en-US" w:eastAsia="en-GB"/>
        </w:rPr>
        <w:instrText xml:space="preserve"> REF _Ref528962804 \h </w:instrText>
      </w:r>
      <w:r>
        <w:rPr>
          <w:bCs/>
          <w:noProof/>
          <w:lang w:val="en-US" w:eastAsia="en-GB"/>
        </w:rPr>
      </w:r>
      <w:r>
        <w:rPr>
          <w:bCs/>
          <w:noProof/>
          <w:lang w:val="en-US" w:eastAsia="en-GB"/>
        </w:rPr>
        <w:fldChar w:fldCharType="separate"/>
      </w:r>
      <w:r w:rsidR="009C5434">
        <w:t xml:space="preserve">Figure </w:t>
      </w:r>
      <w:r w:rsidR="009C5434">
        <w:rPr>
          <w:noProof/>
        </w:rPr>
        <w:t>1</w:t>
      </w:r>
      <w:r>
        <w:rPr>
          <w:bCs/>
          <w:noProof/>
          <w:lang w:val="en-US" w:eastAsia="en-GB"/>
        </w:rPr>
        <w:fldChar w:fldCharType="end"/>
      </w:r>
      <w:r>
        <w:rPr>
          <w:bCs/>
          <w:noProof/>
          <w:lang w:val="en-US" w:eastAsia="en-GB"/>
        </w:rPr>
        <w:t xml:space="preserve">, the probability of a NACK being reported rises signficantly as the bundle size and PDSCH BLER increase. </w:t>
      </w:r>
      <w:r w:rsidR="00A521CA">
        <w:rPr>
          <w:bCs/>
          <w:noProof/>
          <w:lang w:val="en-US" w:eastAsia="en-GB"/>
        </w:rPr>
        <w:t>In order f</w:t>
      </w:r>
      <w:r w:rsidR="009C5434">
        <w:rPr>
          <w:bCs/>
          <w:noProof/>
          <w:lang w:val="en-US" w:eastAsia="en-GB"/>
        </w:rPr>
        <w:t xml:space="preserve">or the probability of the HARQ ACK-NACK report to indicate NACK with less than 50% probability, a compromise HARQ bundle size is 4 transport blocks. If more than 4 transport blocks are assigned in the MTBG feature, multiple HARQ bundle reports can be sent (e.g. for CE Mode A, if 8 transport blocks are sent, one HARQ bundle would report the status of the first 4 transport blocks and a second HARQ bundle would report the status of the second 4 transport blocks).     </w:t>
      </w:r>
    </w:p>
    <w:p w14:paraId="42D91337" w14:textId="38EC8B2F" w:rsidR="00792E00" w:rsidRDefault="00964810" w:rsidP="00792E00">
      <w:pPr>
        <w:rPr>
          <w:bCs/>
          <w:noProof/>
          <w:lang w:val="en-US" w:eastAsia="en-GB"/>
        </w:rPr>
      </w:pPr>
      <w:r w:rsidRPr="00964810">
        <w:rPr>
          <w:b/>
          <w:bCs/>
          <w:noProof/>
          <w:lang w:val="en-US" w:eastAsia="en-GB"/>
        </w:rPr>
        <w:t xml:space="preserve">Proposal </w:t>
      </w:r>
      <w:r w:rsidR="00A521CA">
        <w:rPr>
          <w:b/>
          <w:bCs/>
          <w:noProof/>
          <w:lang w:val="en-US" w:eastAsia="en-GB"/>
        </w:rPr>
        <w:t>3</w:t>
      </w:r>
      <w:r w:rsidRPr="00964810">
        <w:rPr>
          <w:b/>
          <w:bCs/>
          <w:noProof/>
          <w:lang w:val="en-US" w:eastAsia="en-GB"/>
        </w:rPr>
        <w:t>: The maximum HARQ bundle size is 4</w:t>
      </w:r>
      <w:r>
        <w:rPr>
          <w:bCs/>
          <w:noProof/>
          <w:lang w:val="en-US" w:eastAsia="en-GB"/>
        </w:rPr>
        <w:t>.</w:t>
      </w:r>
    </w:p>
    <w:p w14:paraId="1CC30989" w14:textId="77777777" w:rsidR="00792E00" w:rsidRDefault="00792E00" w:rsidP="00792E00">
      <w:pPr>
        <w:jc w:val="center"/>
        <w:rPr>
          <w:bCs/>
          <w:noProof/>
          <w:lang w:val="en-US" w:eastAsia="en-GB"/>
        </w:rPr>
      </w:pPr>
      <w:r>
        <w:rPr>
          <w:noProof/>
          <w:lang w:eastAsia="ja-JP"/>
        </w:rPr>
        <w:drawing>
          <wp:inline distT="0" distB="0" distL="0" distR="0" wp14:anchorId="7BC9094E" wp14:editId="6A76E14E">
            <wp:extent cx="3349461" cy="2791218"/>
            <wp:effectExtent l="0" t="0" r="381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60279" cy="2800233"/>
                    </a:xfrm>
                    <a:prstGeom prst="rect">
                      <a:avLst/>
                    </a:prstGeom>
                  </pic:spPr>
                </pic:pic>
              </a:graphicData>
            </a:graphic>
          </wp:inline>
        </w:drawing>
      </w:r>
    </w:p>
    <w:p w14:paraId="01519D79" w14:textId="0AFD219B" w:rsidR="00792E00" w:rsidRDefault="00792E00" w:rsidP="00792E00">
      <w:pPr>
        <w:pStyle w:val="Caption"/>
        <w:jc w:val="center"/>
        <w:rPr>
          <w:bCs/>
          <w:noProof/>
          <w:lang w:val="en-US" w:eastAsia="en-GB"/>
        </w:rPr>
      </w:pPr>
      <w:bookmarkStart w:id="2" w:name="_Ref528962804"/>
      <w:r>
        <w:t xml:space="preserve">Figure </w:t>
      </w:r>
      <w:r>
        <w:rPr>
          <w:noProof/>
        </w:rPr>
        <w:fldChar w:fldCharType="begin"/>
      </w:r>
      <w:r>
        <w:rPr>
          <w:noProof/>
        </w:rPr>
        <w:instrText xml:space="preserve"> SEQ Figure \* ARABIC </w:instrText>
      </w:r>
      <w:r>
        <w:rPr>
          <w:noProof/>
        </w:rPr>
        <w:fldChar w:fldCharType="separate"/>
      </w:r>
      <w:r w:rsidR="009C5434">
        <w:rPr>
          <w:noProof/>
        </w:rPr>
        <w:t>1</w:t>
      </w:r>
      <w:r>
        <w:rPr>
          <w:noProof/>
        </w:rPr>
        <w:fldChar w:fldCharType="end"/>
      </w:r>
      <w:bookmarkEnd w:id="2"/>
      <w:r>
        <w:t xml:space="preserve"> - Probability of HARQ bundle reporting NACK as bundle size increases</w:t>
      </w:r>
    </w:p>
    <w:p w14:paraId="75AAD492" w14:textId="24CA1897" w:rsidR="009C5434" w:rsidRDefault="009C5434" w:rsidP="00792E00">
      <w:pPr>
        <w:rPr>
          <w:bCs/>
          <w:noProof/>
          <w:lang w:val="en-US" w:eastAsia="en-GB"/>
        </w:rPr>
      </w:pPr>
    </w:p>
    <w:p w14:paraId="73C712B2" w14:textId="784BE2A1" w:rsidR="00792E00" w:rsidRDefault="00964810" w:rsidP="00964810">
      <w:pPr>
        <w:rPr>
          <w:bCs/>
          <w:noProof/>
          <w:lang w:val="en-US" w:eastAsia="en-GB"/>
        </w:rPr>
      </w:pPr>
      <w:r>
        <w:rPr>
          <w:bCs/>
          <w:noProof/>
          <w:lang w:val="en-US" w:eastAsia="en-GB"/>
        </w:rPr>
        <w:t>When a HARQ bundle reports NACK, the eNB ideally needs to know which of the constituent transport blocks associated with the HARQ bundle needs to be re-transmitted. In order to allow signalling of the ACK / NACK status of individual transport blocks</w:t>
      </w:r>
      <w:r w:rsidR="00792E00">
        <w:rPr>
          <w:bCs/>
          <w:noProof/>
          <w:lang w:val="en-US" w:eastAsia="en-GB"/>
        </w:rPr>
        <w:t xml:space="preserve">, it is proposed that if the HARQ ACK-NACK bundle indicates NACK, the UE additionally transmits separate PUCCH indcating the ACK / NACK status of the individual DL PDSCH transport blocks, as shown in </w:t>
      </w:r>
      <w:r w:rsidR="00792E00">
        <w:rPr>
          <w:bCs/>
          <w:noProof/>
          <w:lang w:val="en-US" w:eastAsia="en-GB"/>
        </w:rPr>
        <w:fldChar w:fldCharType="begin"/>
      </w:r>
      <w:r w:rsidR="00792E00">
        <w:rPr>
          <w:bCs/>
          <w:noProof/>
          <w:lang w:val="en-US" w:eastAsia="en-GB"/>
        </w:rPr>
        <w:instrText xml:space="preserve"> REF _Ref528964455 \h </w:instrText>
      </w:r>
      <w:r w:rsidR="00792E00">
        <w:rPr>
          <w:bCs/>
          <w:noProof/>
          <w:lang w:val="en-US" w:eastAsia="en-GB"/>
        </w:rPr>
      </w:r>
      <w:r w:rsidR="00792E00">
        <w:rPr>
          <w:bCs/>
          <w:noProof/>
          <w:lang w:val="en-US" w:eastAsia="en-GB"/>
        </w:rPr>
        <w:fldChar w:fldCharType="separate"/>
      </w:r>
      <w:r w:rsidR="009C5434">
        <w:t xml:space="preserve">Figure </w:t>
      </w:r>
      <w:r w:rsidR="009C5434">
        <w:rPr>
          <w:noProof/>
        </w:rPr>
        <w:t>2</w:t>
      </w:r>
      <w:r w:rsidR="00792E00">
        <w:rPr>
          <w:bCs/>
          <w:noProof/>
          <w:lang w:val="en-US" w:eastAsia="en-GB"/>
        </w:rPr>
        <w:fldChar w:fldCharType="end"/>
      </w:r>
      <w:r w:rsidR="00792E00">
        <w:rPr>
          <w:bCs/>
          <w:noProof/>
          <w:lang w:val="en-US" w:eastAsia="en-GB"/>
        </w:rPr>
        <w:t>.</w:t>
      </w:r>
    </w:p>
    <w:p w14:paraId="37252F69" w14:textId="77777777" w:rsidR="00792E00" w:rsidRDefault="00792E00" w:rsidP="00792E00">
      <w:pPr>
        <w:rPr>
          <w:bCs/>
          <w:noProof/>
          <w:lang w:val="en-US" w:eastAsia="en-GB"/>
        </w:rPr>
      </w:pPr>
      <w:r>
        <w:rPr>
          <w:bCs/>
          <w:noProof/>
          <w:lang w:eastAsia="ja-JP"/>
        </w:rPr>
        <w:lastRenderedPageBreak/>
        <w:drawing>
          <wp:inline distT="0" distB="0" distL="0" distR="0" wp14:anchorId="6DAE63CC" wp14:editId="5637699E">
            <wp:extent cx="6083300" cy="215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3300" cy="2159000"/>
                    </a:xfrm>
                    <a:prstGeom prst="rect">
                      <a:avLst/>
                    </a:prstGeom>
                    <a:noFill/>
                    <a:ln>
                      <a:noFill/>
                    </a:ln>
                  </pic:spPr>
                </pic:pic>
              </a:graphicData>
            </a:graphic>
          </wp:inline>
        </w:drawing>
      </w:r>
    </w:p>
    <w:p w14:paraId="2898B13A" w14:textId="41CA333E" w:rsidR="00792E00" w:rsidRDefault="00792E00" w:rsidP="00792E00">
      <w:pPr>
        <w:pStyle w:val="Caption"/>
        <w:rPr>
          <w:bCs/>
          <w:noProof/>
          <w:lang w:val="en-US" w:eastAsia="en-GB"/>
        </w:rPr>
      </w:pPr>
      <w:bookmarkStart w:id="3" w:name="_Ref528964455"/>
      <w:r>
        <w:t xml:space="preserve">Figure </w:t>
      </w:r>
      <w:r>
        <w:rPr>
          <w:noProof/>
        </w:rPr>
        <w:fldChar w:fldCharType="begin"/>
      </w:r>
      <w:r>
        <w:rPr>
          <w:noProof/>
        </w:rPr>
        <w:instrText xml:space="preserve"> SEQ Figure \* ARABIC </w:instrText>
      </w:r>
      <w:r>
        <w:rPr>
          <w:noProof/>
        </w:rPr>
        <w:fldChar w:fldCharType="separate"/>
      </w:r>
      <w:r w:rsidR="009C5434">
        <w:rPr>
          <w:noProof/>
        </w:rPr>
        <w:t>2</w:t>
      </w:r>
      <w:r>
        <w:rPr>
          <w:noProof/>
        </w:rPr>
        <w:fldChar w:fldCharType="end"/>
      </w:r>
      <w:bookmarkEnd w:id="3"/>
      <w:r>
        <w:t xml:space="preserve"> – Transmission of individual ACK / NACK indications after a transmission of a HARQ-bundled NACK</w:t>
      </w:r>
    </w:p>
    <w:p w14:paraId="04D3CEFF" w14:textId="043AE57B" w:rsidR="00792E00" w:rsidRDefault="00792E00" w:rsidP="00792E00">
      <w:pPr>
        <w:rPr>
          <w:bCs/>
          <w:noProof/>
          <w:lang w:val="en-US" w:eastAsia="en-GB"/>
        </w:rPr>
      </w:pPr>
      <w:r>
        <w:rPr>
          <w:bCs/>
          <w:noProof/>
          <w:lang w:val="en-US" w:eastAsia="en-GB"/>
        </w:rPr>
        <w:fldChar w:fldCharType="begin"/>
      </w:r>
      <w:r>
        <w:rPr>
          <w:bCs/>
          <w:noProof/>
          <w:lang w:val="en-US" w:eastAsia="en-GB"/>
        </w:rPr>
        <w:instrText xml:space="preserve"> REF _Ref528964455 \h </w:instrText>
      </w:r>
      <w:r>
        <w:rPr>
          <w:bCs/>
          <w:noProof/>
          <w:lang w:val="en-US" w:eastAsia="en-GB"/>
        </w:rPr>
      </w:r>
      <w:r>
        <w:rPr>
          <w:bCs/>
          <w:noProof/>
          <w:lang w:val="en-US" w:eastAsia="en-GB"/>
        </w:rPr>
        <w:fldChar w:fldCharType="separate"/>
      </w:r>
      <w:r w:rsidR="009C5434">
        <w:t xml:space="preserve">Figure </w:t>
      </w:r>
      <w:r w:rsidR="009C5434">
        <w:rPr>
          <w:noProof/>
        </w:rPr>
        <w:t>2</w:t>
      </w:r>
      <w:r>
        <w:rPr>
          <w:bCs/>
          <w:noProof/>
          <w:lang w:val="en-US" w:eastAsia="en-GB"/>
        </w:rPr>
        <w:fldChar w:fldCharType="end"/>
      </w:r>
      <w:r>
        <w:rPr>
          <w:bCs/>
          <w:noProof/>
          <w:lang w:val="en-US" w:eastAsia="en-GB"/>
        </w:rPr>
        <w:t xml:space="preserve"> shows:</w:t>
      </w:r>
    </w:p>
    <w:p w14:paraId="4CB8C6B5" w14:textId="260418B6" w:rsidR="00792E00" w:rsidRDefault="00792E00" w:rsidP="00792E00">
      <w:pPr>
        <w:pStyle w:val="ListParagraph"/>
        <w:numPr>
          <w:ilvl w:val="0"/>
          <w:numId w:val="38"/>
        </w:numPr>
        <w:contextualSpacing w:val="0"/>
        <w:rPr>
          <w:bCs/>
          <w:noProof/>
          <w:lang w:val="en-US" w:eastAsia="en-GB"/>
        </w:rPr>
      </w:pPr>
      <w:r>
        <w:rPr>
          <w:bCs/>
          <w:noProof/>
          <w:lang w:val="en-US" w:eastAsia="en-GB"/>
        </w:rPr>
        <w:t xml:space="preserve">When all PDSCH are ACK-ed, a single bundled-ACK bit is sent on PUCCH. From </w:t>
      </w:r>
      <w:r>
        <w:rPr>
          <w:bCs/>
          <w:noProof/>
          <w:lang w:val="en-US" w:eastAsia="en-GB"/>
        </w:rPr>
        <w:fldChar w:fldCharType="begin"/>
      </w:r>
      <w:r>
        <w:rPr>
          <w:bCs/>
          <w:noProof/>
          <w:lang w:val="en-US" w:eastAsia="en-GB"/>
        </w:rPr>
        <w:instrText xml:space="preserve"> REF _Ref528962804 \h </w:instrText>
      </w:r>
      <w:r>
        <w:rPr>
          <w:bCs/>
          <w:noProof/>
          <w:lang w:val="en-US" w:eastAsia="en-GB"/>
        </w:rPr>
      </w:r>
      <w:r>
        <w:rPr>
          <w:bCs/>
          <w:noProof/>
          <w:lang w:val="en-US" w:eastAsia="en-GB"/>
        </w:rPr>
        <w:fldChar w:fldCharType="separate"/>
      </w:r>
      <w:r w:rsidR="009C5434">
        <w:t xml:space="preserve">Figure </w:t>
      </w:r>
      <w:r w:rsidR="009C5434">
        <w:rPr>
          <w:noProof/>
        </w:rPr>
        <w:t>1</w:t>
      </w:r>
      <w:r>
        <w:rPr>
          <w:bCs/>
          <w:noProof/>
          <w:lang w:val="en-US" w:eastAsia="en-GB"/>
        </w:rPr>
        <w:fldChar w:fldCharType="end"/>
      </w:r>
      <w:r>
        <w:rPr>
          <w:bCs/>
          <w:noProof/>
          <w:lang w:val="en-US" w:eastAsia="en-GB"/>
        </w:rPr>
        <w:t xml:space="preserve">, when operating at a BLER target of </w:t>
      </w:r>
      <w:r w:rsidR="00964810">
        <w:rPr>
          <w:bCs/>
          <w:noProof/>
          <w:lang w:val="en-US" w:eastAsia="en-GB"/>
        </w:rPr>
        <w:t>2</w:t>
      </w:r>
      <w:r>
        <w:rPr>
          <w:bCs/>
          <w:noProof/>
          <w:lang w:val="en-US" w:eastAsia="en-GB"/>
        </w:rPr>
        <w:t xml:space="preserve">0%, this case occurs </w:t>
      </w:r>
      <w:r w:rsidR="00964810">
        <w:rPr>
          <w:bCs/>
          <w:noProof/>
          <w:lang w:val="en-US" w:eastAsia="en-GB"/>
        </w:rPr>
        <w:t>4</w:t>
      </w:r>
      <w:r>
        <w:rPr>
          <w:bCs/>
          <w:noProof/>
          <w:lang w:val="en-US" w:eastAsia="en-GB"/>
        </w:rPr>
        <w:t xml:space="preserve">0% of the time with a bundle size of </w:t>
      </w:r>
      <w:r w:rsidR="00964810">
        <w:rPr>
          <w:bCs/>
          <w:noProof/>
          <w:lang w:val="en-US" w:eastAsia="en-GB"/>
        </w:rPr>
        <w:t>4</w:t>
      </w:r>
      <w:r>
        <w:rPr>
          <w:bCs/>
          <w:noProof/>
          <w:lang w:val="en-US" w:eastAsia="en-GB"/>
        </w:rPr>
        <w:t xml:space="preserve">. i.e. </w:t>
      </w:r>
      <w:r w:rsidR="00964810">
        <w:rPr>
          <w:bCs/>
          <w:noProof/>
          <w:lang w:val="en-US" w:eastAsia="en-GB"/>
        </w:rPr>
        <w:t>ne</w:t>
      </w:r>
      <w:r w:rsidR="00A521CA">
        <w:rPr>
          <w:bCs/>
          <w:noProof/>
          <w:lang w:val="en-US" w:eastAsia="en-GB"/>
        </w:rPr>
        <w:t>a</w:t>
      </w:r>
      <w:r w:rsidR="00964810">
        <w:rPr>
          <w:bCs/>
          <w:noProof/>
          <w:lang w:val="en-US" w:eastAsia="en-GB"/>
        </w:rPr>
        <w:t xml:space="preserve">rly </w:t>
      </w:r>
      <w:r>
        <w:rPr>
          <w:bCs/>
          <w:noProof/>
          <w:lang w:val="en-US" w:eastAsia="en-GB"/>
        </w:rPr>
        <w:t>half the time there is no need to send individual ACK-NACK indications.</w:t>
      </w:r>
    </w:p>
    <w:p w14:paraId="67ABDED3" w14:textId="77777777" w:rsidR="00792E00" w:rsidRDefault="00792E00" w:rsidP="00792E00">
      <w:pPr>
        <w:pStyle w:val="ListParagraph"/>
        <w:numPr>
          <w:ilvl w:val="0"/>
          <w:numId w:val="38"/>
        </w:numPr>
        <w:contextualSpacing w:val="0"/>
        <w:rPr>
          <w:bCs/>
          <w:noProof/>
          <w:lang w:val="en-US" w:eastAsia="en-GB"/>
        </w:rPr>
      </w:pPr>
      <w:r>
        <w:rPr>
          <w:bCs/>
          <w:noProof/>
          <w:lang w:val="en-US" w:eastAsia="en-GB"/>
        </w:rPr>
        <w:t>When some PDSCH are NACK-ed, a single NACK bit is sent on PUCCH, followed by individual ACK-NACK bits sent on individual PUCCH. Note that the transmission of individual PUCCH is the default behaviour in any case.</w:t>
      </w:r>
    </w:p>
    <w:p w14:paraId="47903306" w14:textId="4D5FDF3E" w:rsidR="00792E00" w:rsidRPr="00360B15" w:rsidRDefault="00792E00" w:rsidP="00792E00">
      <w:pPr>
        <w:rPr>
          <w:bCs/>
          <w:noProof/>
          <w:lang w:val="en-US" w:eastAsia="en-GB"/>
        </w:rPr>
      </w:pPr>
      <w:r>
        <w:rPr>
          <w:bCs/>
          <w:noProof/>
          <w:lang w:val="en-US" w:eastAsia="en-GB"/>
        </w:rPr>
        <w:t xml:space="preserve">The average number of PUCCH that need to be transmitted using the scheme shown in </w:t>
      </w:r>
      <w:r>
        <w:rPr>
          <w:bCs/>
          <w:noProof/>
          <w:lang w:val="en-US" w:eastAsia="en-GB"/>
        </w:rPr>
        <w:fldChar w:fldCharType="begin"/>
      </w:r>
      <w:r>
        <w:rPr>
          <w:bCs/>
          <w:noProof/>
          <w:lang w:val="en-US" w:eastAsia="en-GB"/>
        </w:rPr>
        <w:instrText xml:space="preserve"> REF _Ref528964455 \h </w:instrText>
      </w:r>
      <w:r>
        <w:rPr>
          <w:bCs/>
          <w:noProof/>
          <w:lang w:val="en-US" w:eastAsia="en-GB"/>
        </w:rPr>
      </w:r>
      <w:r>
        <w:rPr>
          <w:bCs/>
          <w:noProof/>
          <w:lang w:val="en-US" w:eastAsia="en-GB"/>
        </w:rPr>
        <w:fldChar w:fldCharType="separate"/>
      </w:r>
      <w:r w:rsidR="009C5434">
        <w:t xml:space="preserve">Figure </w:t>
      </w:r>
      <w:r w:rsidR="009C5434">
        <w:rPr>
          <w:noProof/>
        </w:rPr>
        <w:t>2</w:t>
      </w:r>
      <w:r>
        <w:rPr>
          <w:bCs/>
          <w:noProof/>
          <w:lang w:val="en-US" w:eastAsia="en-GB"/>
        </w:rPr>
        <w:fldChar w:fldCharType="end"/>
      </w:r>
      <w:r>
        <w:rPr>
          <w:bCs/>
          <w:noProof/>
          <w:lang w:val="en-US" w:eastAsia="en-GB"/>
        </w:rPr>
        <w:t xml:space="preserve"> is shown in </w:t>
      </w:r>
      <w:r>
        <w:rPr>
          <w:bCs/>
          <w:noProof/>
          <w:lang w:val="en-US" w:eastAsia="en-GB"/>
        </w:rPr>
        <w:fldChar w:fldCharType="begin"/>
      </w:r>
      <w:r>
        <w:rPr>
          <w:bCs/>
          <w:noProof/>
          <w:lang w:val="en-US" w:eastAsia="en-GB"/>
        </w:rPr>
        <w:instrText xml:space="preserve"> REF _Ref528966136 \h </w:instrText>
      </w:r>
      <w:r>
        <w:rPr>
          <w:bCs/>
          <w:noProof/>
          <w:lang w:val="en-US" w:eastAsia="en-GB"/>
        </w:rPr>
      </w:r>
      <w:r>
        <w:rPr>
          <w:bCs/>
          <w:noProof/>
          <w:lang w:val="en-US" w:eastAsia="en-GB"/>
        </w:rPr>
        <w:fldChar w:fldCharType="separate"/>
      </w:r>
      <w:r w:rsidR="009C5434">
        <w:t xml:space="preserve">Figure </w:t>
      </w:r>
      <w:r w:rsidR="009C5434">
        <w:rPr>
          <w:noProof/>
        </w:rPr>
        <w:t>3</w:t>
      </w:r>
      <w:r>
        <w:rPr>
          <w:bCs/>
          <w:noProof/>
          <w:lang w:val="en-US" w:eastAsia="en-GB"/>
        </w:rPr>
        <w:fldChar w:fldCharType="end"/>
      </w:r>
      <w:r>
        <w:rPr>
          <w:bCs/>
          <w:noProof/>
          <w:lang w:val="en-US" w:eastAsia="en-GB"/>
        </w:rPr>
        <w:t>. It is seen that the average number of PUCCH transmitted by the UE is signficantly reduced when individual ACK / NACK indications are only transmitted following a HARQ-bundled NACK.</w:t>
      </w:r>
      <w:r w:rsidR="00964810">
        <w:rPr>
          <w:bCs/>
          <w:noProof/>
          <w:lang w:val="en-US" w:eastAsia="en-GB"/>
        </w:rPr>
        <w:t xml:space="preserve"> For example with a HARQ bundle size of 4, there is a 20% reduction in PUCCH transmission at BLER = 20% and a 40% reduction at BLER = 10%.</w:t>
      </w:r>
    </w:p>
    <w:p w14:paraId="02023604" w14:textId="77777777" w:rsidR="00792E00" w:rsidRDefault="00792E00" w:rsidP="00792E00">
      <w:pPr>
        <w:jc w:val="center"/>
        <w:rPr>
          <w:bCs/>
          <w:noProof/>
          <w:lang w:val="en-US" w:eastAsia="en-GB"/>
        </w:rPr>
      </w:pPr>
      <w:r>
        <w:rPr>
          <w:noProof/>
          <w:lang w:eastAsia="ja-JP"/>
        </w:rPr>
        <w:drawing>
          <wp:inline distT="0" distB="0" distL="0" distR="0" wp14:anchorId="26DBAA71" wp14:editId="542674EF">
            <wp:extent cx="4418310" cy="3681925"/>
            <wp:effectExtent l="0" t="0" r="1905"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24005" cy="3686671"/>
                    </a:xfrm>
                    <a:prstGeom prst="rect">
                      <a:avLst/>
                    </a:prstGeom>
                  </pic:spPr>
                </pic:pic>
              </a:graphicData>
            </a:graphic>
          </wp:inline>
        </w:drawing>
      </w:r>
    </w:p>
    <w:p w14:paraId="29DED9D9" w14:textId="3198A3E5" w:rsidR="00792E00" w:rsidRDefault="00792E00" w:rsidP="00792E00">
      <w:pPr>
        <w:pStyle w:val="Caption"/>
        <w:jc w:val="center"/>
      </w:pPr>
      <w:bookmarkStart w:id="4" w:name="_Ref528966136"/>
      <w:r>
        <w:t xml:space="preserve">Figure </w:t>
      </w:r>
      <w:r>
        <w:rPr>
          <w:noProof/>
        </w:rPr>
        <w:fldChar w:fldCharType="begin"/>
      </w:r>
      <w:r>
        <w:rPr>
          <w:noProof/>
        </w:rPr>
        <w:instrText xml:space="preserve"> SEQ Figure \* ARABIC </w:instrText>
      </w:r>
      <w:r>
        <w:rPr>
          <w:noProof/>
        </w:rPr>
        <w:fldChar w:fldCharType="separate"/>
      </w:r>
      <w:r w:rsidR="009C5434">
        <w:rPr>
          <w:noProof/>
        </w:rPr>
        <w:t>3</w:t>
      </w:r>
      <w:r>
        <w:rPr>
          <w:noProof/>
        </w:rPr>
        <w:fldChar w:fldCharType="end"/>
      </w:r>
      <w:bookmarkEnd w:id="4"/>
      <w:r>
        <w:t xml:space="preserve"> - Average number of PUCCH transmitted when individual PUCCH are transmitted following a HARQ-bundled NACK</w:t>
      </w:r>
    </w:p>
    <w:p w14:paraId="65581B9F" w14:textId="77777777" w:rsidR="00792E00" w:rsidRPr="00360B15" w:rsidRDefault="00792E00" w:rsidP="00792E00">
      <w:r>
        <w:lastRenderedPageBreak/>
        <w:t>Based on the reduced number of PUCCH transmitted (and hence reduced UE power consumption), the following proposals are made:</w:t>
      </w:r>
    </w:p>
    <w:p w14:paraId="2CB6CC51" w14:textId="7CD240E9" w:rsidR="00792E00" w:rsidRDefault="00792E00" w:rsidP="00792E00">
      <w:pPr>
        <w:rPr>
          <w:b/>
          <w:bCs/>
          <w:noProof/>
          <w:lang w:val="en-US" w:eastAsia="en-GB"/>
        </w:rPr>
      </w:pPr>
      <w:r w:rsidRPr="00CA5461">
        <w:rPr>
          <w:b/>
          <w:bCs/>
          <w:noProof/>
          <w:lang w:val="en-US" w:eastAsia="en-GB"/>
        </w:rPr>
        <w:t xml:space="preserve">Proposal </w:t>
      </w:r>
      <w:r w:rsidR="00A521CA">
        <w:rPr>
          <w:b/>
          <w:bCs/>
          <w:noProof/>
          <w:lang w:val="en-US" w:eastAsia="en-GB"/>
        </w:rPr>
        <w:t>4</w:t>
      </w:r>
      <w:r w:rsidRPr="00CA5461">
        <w:rPr>
          <w:b/>
          <w:bCs/>
          <w:noProof/>
          <w:lang w:val="en-US" w:eastAsia="en-GB"/>
        </w:rPr>
        <w:t>: When a</w:t>
      </w:r>
      <w:r w:rsidRPr="00360B15">
        <w:rPr>
          <w:b/>
          <w:bCs/>
          <w:noProof/>
          <w:lang w:val="en-US" w:eastAsia="en-GB"/>
        </w:rPr>
        <w:t xml:space="preserve"> HARQ-bundled NACK is transmitted, individual PUCCH are transmitted following that HARQ-bundled NACK, indicating the ACK / NACK status of individual PDSCH transport blocks.</w:t>
      </w:r>
    </w:p>
    <w:p w14:paraId="0C96830A" w14:textId="6E41F6E3" w:rsidR="00116008" w:rsidRDefault="00116008" w:rsidP="002D4F72">
      <w:pPr>
        <w:rPr>
          <w:rFonts w:eastAsia="MS Mincho"/>
          <w:lang w:val="en-US"/>
        </w:rPr>
      </w:pPr>
    </w:p>
    <w:p w14:paraId="66E1682A" w14:textId="07F0C957" w:rsidR="00154A2B" w:rsidRDefault="00154A2B" w:rsidP="00154A2B">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 xml:space="preserve">Features that can be configured alongside MTBG </w:t>
      </w:r>
    </w:p>
    <w:p w14:paraId="02E913CD" w14:textId="2D07E2F8" w:rsidR="00154A2B" w:rsidRDefault="00154A2B" w:rsidP="002D4F72">
      <w:pPr>
        <w:rPr>
          <w:rFonts w:eastAsia="MS Mincho"/>
          <w:lang w:val="en-US"/>
        </w:rPr>
      </w:pPr>
      <w:r>
        <w:t>In RAN1#96bis, the following features were identified that could potentially be used alongside the MTBG feature:</w:t>
      </w:r>
    </w:p>
    <w:p w14:paraId="3D343D12" w14:textId="77777777" w:rsidR="00154A2B" w:rsidRDefault="00154A2B" w:rsidP="00154A2B">
      <w:pPr>
        <w:numPr>
          <w:ilvl w:val="0"/>
          <w:numId w:val="41"/>
        </w:numPr>
        <w:spacing w:after="0"/>
        <w:rPr>
          <w:rFonts w:eastAsia="Times New Roman"/>
        </w:rPr>
      </w:pPr>
      <w:r>
        <w:rPr>
          <w:rFonts w:eastAsia="Times New Roman"/>
        </w:rPr>
        <w:t>Rel-14 feature for new numbers of repetitions for PUSCH and modulation restrictions for PDSCH/PUSCH in CE mode A</w:t>
      </w:r>
    </w:p>
    <w:p w14:paraId="1817A858" w14:textId="77777777" w:rsidR="00154A2B" w:rsidRDefault="00154A2B" w:rsidP="00154A2B">
      <w:pPr>
        <w:numPr>
          <w:ilvl w:val="0"/>
          <w:numId w:val="41"/>
        </w:numPr>
        <w:spacing w:after="0"/>
        <w:rPr>
          <w:rFonts w:eastAsia="Times New Roman"/>
        </w:rPr>
      </w:pPr>
      <w:r>
        <w:rPr>
          <w:rFonts w:eastAsia="Times New Roman"/>
        </w:rPr>
        <w:t>Rel-14 feature for 2984 bits max UL TBS in 1.4 MHz in CE mode A</w:t>
      </w:r>
    </w:p>
    <w:p w14:paraId="5EA1F269" w14:textId="77777777" w:rsidR="00154A2B" w:rsidRDefault="00154A2B" w:rsidP="00154A2B">
      <w:pPr>
        <w:numPr>
          <w:ilvl w:val="0"/>
          <w:numId w:val="41"/>
        </w:numPr>
        <w:spacing w:after="0"/>
        <w:rPr>
          <w:rFonts w:eastAsia="Times New Roman"/>
        </w:rPr>
      </w:pPr>
      <w:r>
        <w:rPr>
          <w:rFonts w:eastAsia="Times New Roman"/>
        </w:rPr>
        <w:t>Rel-14 feature on HARQ-ACK bundling in HD-FDD in CE mode A</w:t>
      </w:r>
    </w:p>
    <w:p w14:paraId="05DD9A10" w14:textId="77777777" w:rsidR="00154A2B" w:rsidRDefault="00154A2B" w:rsidP="00154A2B">
      <w:pPr>
        <w:numPr>
          <w:ilvl w:val="0"/>
          <w:numId w:val="41"/>
        </w:numPr>
        <w:spacing w:after="0"/>
        <w:rPr>
          <w:rFonts w:eastAsia="Times New Roman"/>
        </w:rPr>
      </w:pPr>
      <w:r>
        <w:rPr>
          <w:rFonts w:eastAsia="Times New Roman"/>
        </w:rPr>
        <w:t>Rel-14 features for 5 or 20 MHz max PDSCH/PUSCH channel bandwidths in CE mode A/B</w:t>
      </w:r>
    </w:p>
    <w:p w14:paraId="216C0B37" w14:textId="77777777" w:rsidR="00154A2B" w:rsidRDefault="00154A2B" w:rsidP="00154A2B">
      <w:pPr>
        <w:numPr>
          <w:ilvl w:val="0"/>
          <w:numId w:val="41"/>
        </w:numPr>
        <w:spacing w:after="0"/>
        <w:rPr>
          <w:rFonts w:eastAsia="Times New Roman"/>
        </w:rPr>
      </w:pPr>
      <w:r>
        <w:rPr>
          <w:rFonts w:eastAsia="Times New Roman"/>
        </w:rPr>
        <w:t>Rel-14 feature for 10 downlink HARQ processes in FDD in CE mode A</w:t>
      </w:r>
    </w:p>
    <w:p w14:paraId="48F707AF" w14:textId="77777777" w:rsidR="00154A2B" w:rsidRDefault="00154A2B" w:rsidP="00154A2B">
      <w:pPr>
        <w:numPr>
          <w:ilvl w:val="0"/>
          <w:numId w:val="41"/>
        </w:numPr>
        <w:spacing w:after="0"/>
        <w:rPr>
          <w:rFonts w:eastAsia="Times New Roman"/>
        </w:rPr>
      </w:pPr>
      <w:r>
        <w:rPr>
          <w:rFonts w:eastAsia="Times New Roman"/>
        </w:rPr>
        <w:t>Rel-14 feature for dynamic HARQ-ACK delay for HD-FDD in CE mode A</w:t>
      </w:r>
    </w:p>
    <w:p w14:paraId="47EEA216" w14:textId="77777777" w:rsidR="00154A2B" w:rsidRDefault="00154A2B" w:rsidP="00154A2B">
      <w:pPr>
        <w:numPr>
          <w:ilvl w:val="0"/>
          <w:numId w:val="41"/>
        </w:numPr>
        <w:spacing w:after="0"/>
        <w:rPr>
          <w:rFonts w:eastAsia="Times New Roman"/>
        </w:rPr>
      </w:pPr>
      <w:r>
        <w:rPr>
          <w:rFonts w:eastAsia="Times New Roman"/>
        </w:rPr>
        <w:t>Rel-15 features for flexible starting PRB for PDSCH/PUSCH in CE mode A/B</w:t>
      </w:r>
    </w:p>
    <w:p w14:paraId="28CCF3D8" w14:textId="77777777" w:rsidR="00154A2B" w:rsidRDefault="00154A2B" w:rsidP="00154A2B">
      <w:pPr>
        <w:numPr>
          <w:ilvl w:val="0"/>
          <w:numId w:val="41"/>
        </w:numPr>
        <w:spacing w:after="0"/>
        <w:rPr>
          <w:rFonts w:eastAsia="Times New Roman"/>
        </w:rPr>
      </w:pPr>
      <w:r>
        <w:rPr>
          <w:rFonts w:eastAsia="Times New Roman"/>
        </w:rPr>
        <w:t>Rel-15 feature for PUSCH sub-PRB allocation in CE mode A/B</w:t>
      </w:r>
    </w:p>
    <w:p w14:paraId="59B374BE" w14:textId="77777777" w:rsidR="00154A2B" w:rsidRDefault="00154A2B" w:rsidP="00154A2B">
      <w:pPr>
        <w:numPr>
          <w:ilvl w:val="0"/>
          <w:numId w:val="41"/>
        </w:numPr>
        <w:spacing w:after="0"/>
        <w:rPr>
          <w:rFonts w:eastAsia="Times New Roman"/>
        </w:rPr>
      </w:pPr>
      <w:r>
        <w:rPr>
          <w:rFonts w:eastAsia="Times New Roman"/>
        </w:rPr>
        <w:t>Rel-15 feature for 64QAM for non-repeated unicast PDSCH in CE mode A</w:t>
      </w:r>
    </w:p>
    <w:p w14:paraId="54927D9B" w14:textId="77777777" w:rsidR="00154A2B" w:rsidRDefault="00154A2B" w:rsidP="00154A2B">
      <w:pPr>
        <w:numPr>
          <w:ilvl w:val="0"/>
          <w:numId w:val="41"/>
        </w:numPr>
        <w:spacing w:after="0"/>
        <w:rPr>
          <w:rFonts w:eastAsia="Times New Roman"/>
        </w:rPr>
      </w:pPr>
      <w:r>
        <w:rPr>
          <w:rFonts w:eastAsia="Times New Roman"/>
        </w:rPr>
        <w:t>Rel-15 feature for uplink HARQ-ACK feedback in DCI in CE mode A/B</w:t>
      </w:r>
    </w:p>
    <w:p w14:paraId="7766C8DA" w14:textId="229B177E" w:rsidR="00154A2B" w:rsidRDefault="00154A2B" w:rsidP="002D4F72">
      <w:pPr>
        <w:rPr>
          <w:rFonts w:eastAsia="MS Mincho"/>
        </w:rPr>
      </w:pPr>
    </w:p>
    <w:p w14:paraId="32E0F69F" w14:textId="49C0E3B8" w:rsidR="00154A2B" w:rsidRDefault="00154A2B" w:rsidP="002D4F72">
      <w:pPr>
        <w:rPr>
          <w:rFonts w:eastAsia="MS Mincho"/>
        </w:rPr>
      </w:pPr>
      <w:r>
        <w:rPr>
          <w:rFonts w:eastAsia="MS Mincho"/>
        </w:rPr>
        <w:t xml:space="preserve">Our views on which features can be configured alongside MTBG are given in </w:t>
      </w:r>
      <w:r w:rsidR="00D03C4C">
        <w:rPr>
          <w:rFonts w:eastAsia="MS Mincho"/>
        </w:rPr>
        <w:fldChar w:fldCharType="begin"/>
      </w:r>
      <w:r w:rsidR="00D03C4C">
        <w:rPr>
          <w:rFonts w:eastAsia="MS Mincho"/>
        </w:rPr>
        <w:instrText xml:space="preserve"> REF _Ref7799704 \h </w:instrText>
      </w:r>
      <w:r w:rsidR="00D03C4C">
        <w:rPr>
          <w:rFonts w:eastAsia="MS Mincho"/>
        </w:rPr>
      </w:r>
      <w:r w:rsidR="00D03C4C">
        <w:rPr>
          <w:rFonts w:eastAsia="MS Mincho"/>
        </w:rPr>
        <w:fldChar w:fldCharType="separate"/>
      </w:r>
      <w:r w:rsidR="00D03C4C">
        <w:t xml:space="preserve">Table </w:t>
      </w:r>
      <w:r w:rsidR="00D03C4C">
        <w:rPr>
          <w:noProof/>
        </w:rPr>
        <w:t>1</w:t>
      </w:r>
      <w:r w:rsidR="00D03C4C">
        <w:rPr>
          <w:rFonts w:eastAsia="MS Mincho"/>
        </w:rPr>
        <w:fldChar w:fldCharType="end"/>
      </w:r>
      <w:r>
        <w:rPr>
          <w:rFonts w:eastAsia="MS Mincho"/>
        </w:rPr>
        <w:t>.</w:t>
      </w:r>
    </w:p>
    <w:p w14:paraId="77E0F5F5" w14:textId="15C68025" w:rsidR="00D03C4C" w:rsidRDefault="00D03C4C" w:rsidP="00D03C4C">
      <w:pPr>
        <w:pStyle w:val="Caption"/>
        <w:jc w:val="center"/>
        <w:rPr>
          <w:rFonts w:eastAsia="MS Mincho"/>
        </w:rPr>
      </w:pPr>
      <w:bookmarkStart w:id="5" w:name="_Ref7799704"/>
      <w:r>
        <w:t xml:space="preserve">Table </w:t>
      </w:r>
      <w:fldSimple w:instr=" SEQ Table \* ARABIC ">
        <w:r>
          <w:rPr>
            <w:noProof/>
          </w:rPr>
          <w:t>1</w:t>
        </w:r>
      </w:fldSimple>
      <w:bookmarkEnd w:id="5"/>
      <w:r>
        <w:t xml:space="preserve"> – Features that can be configured alongside MTBG</w:t>
      </w:r>
    </w:p>
    <w:tbl>
      <w:tblPr>
        <w:tblStyle w:val="TableGrid"/>
        <w:tblW w:w="10491" w:type="dxa"/>
        <w:tblInd w:w="-431" w:type="dxa"/>
        <w:tblLook w:val="04A0" w:firstRow="1" w:lastRow="0" w:firstColumn="1" w:lastColumn="0" w:noHBand="0" w:noVBand="1"/>
      </w:tblPr>
      <w:tblGrid>
        <w:gridCol w:w="3716"/>
        <w:gridCol w:w="4790"/>
        <w:gridCol w:w="1985"/>
      </w:tblGrid>
      <w:tr w:rsidR="00154A2B" w:rsidRPr="00246E52" w14:paraId="2627A667" w14:textId="77777777" w:rsidTr="00246E52">
        <w:tc>
          <w:tcPr>
            <w:tcW w:w="3716" w:type="dxa"/>
            <w:shd w:val="clear" w:color="auto" w:fill="D9D9D9" w:themeFill="background1" w:themeFillShade="D9"/>
          </w:tcPr>
          <w:p w14:paraId="7DDF5C71" w14:textId="4FA5EDA8" w:rsidR="00154A2B" w:rsidRPr="00246E52" w:rsidRDefault="00154A2B" w:rsidP="002D4F72">
            <w:pPr>
              <w:rPr>
                <w:rFonts w:ascii="Arial" w:eastAsia="MS Mincho" w:hAnsi="Arial" w:cs="Arial"/>
                <w:b/>
                <w:sz w:val="20"/>
              </w:rPr>
            </w:pPr>
            <w:r w:rsidRPr="00246E52">
              <w:rPr>
                <w:rFonts w:ascii="Arial" w:eastAsia="MS Mincho" w:hAnsi="Arial" w:cs="Arial"/>
                <w:b/>
                <w:sz w:val="20"/>
              </w:rPr>
              <w:t>Feature</w:t>
            </w:r>
          </w:p>
        </w:tc>
        <w:tc>
          <w:tcPr>
            <w:tcW w:w="4790" w:type="dxa"/>
            <w:shd w:val="clear" w:color="auto" w:fill="D9D9D9" w:themeFill="background1" w:themeFillShade="D9"/>
          </w:tcPr>
          <w:p w14:paraId="7CEA6045" w14:textId="1787C697" w:rsidR="00154A2B" w:rsidRPr="00246E52" w:rsidRDefault="00154A2B" w:rsidP="002D4F72">
            <w:pPr>
              <w:rPr>
                <w:rFonts w:ascii="Arial" w:eastAsia="MS Mincho" w:hAnsi="Arial" w:cs="Arial"/>
                <w:b/>
                <w:sz w:val="20"/>
              </w:rPr>
            </w:pPr>
            <w:r w:rsidRPr="00246E52">
              <w:rPr>
                <w:rFonts w:ascii="Arial" w:eastAsia="MS Mincho" w:hAnsi="Arial" w:cs="Arial"/>
                <w:b/>
                <w:sz w:val="20"/>
              </w:rPr>
              <w:t>Comment</w:t>
            </w:r>
          </w:p>
        </w:tc>
        <w:tc>
          <w:tcPr>
            <w:tcW w:w="1985" w:type="dxa"/>
            <w:shd w:val="clear" w:color="auto" w:fill="D9D9D9" w:themeFill="background1" w:themeFillShade="D9"/>
          </w:tcPr>
          <w:p w14:paraId="467C35C5" w14:textId="590682FA" w:rsidR="00154A2B" w:rsidRPr="00246E52" w:rsidRDefault="00154A2B" w:rsidP="002D4F72">
            <w:pPr>
              <w:rPr>
                <w:rFonts w:ascii="Arial" w:eastAsia="MS Mincho" w:hAnsi="Arial" w:cs="Arial"/>
                <w:b/>
                <w:sz w:val="20"/>
              </w:rPr>
            </w:pPr>
            <w:r w:rsidRPr="00246E52">
              <w:rPr>
                <w:rFonts w:ascii="Arial" w:eastAsia="MS Mincho" w:hAnsi="Arial" w:cs="Arial"/>
                <w:b/>
                <w:sz w:val="20"/>
              </w:rPr>
              <w:t>Supported with MTBG?</w:t>
            </w:r>
          </w:p>
        </w:tc>
      </w:tr>
      <w:tr w:rsidR="00154A2B" w14:paraId="4B7B6920" w14:textId="77777777" w:rsidTr="00881FF7">
        <w:tc>
          <w:tcPr>
            <w:tcW w:w="3716" w:type="dxa"/>
          </w:tcPr>
          <w:p w14:paraId="5A277D1B" w14:textId="3E01B216" w:rsidR="00154A2B" w:rsidRPr="00A521CA" w:rsidRDefault="00881FF7" w:rsidP="002D4F72">
            <w:pPr>
              <w:rPr>
                <w:rFonts w:eastAsia="MS Mincho"/>
                <w:sz w:val="20"/>
              </w:rPr>
            </w:pPr>
            <w:r w:rsidRPr="00A521CA">
              <w:rPr>
                <w:rFonts w:eastAsia="MS Mincho"/>
                <w:sz w:val="20"/>
              </w:rPr>
              <w:t>New numbers of REP for PUSCH / modulation restrictions</w:t>
            </w:r>
          </w:p>
        </w:tc>
        <w:tc>
          <w:tcPr>
            <w:tcW w:w="4790" w:type="dxa"/>
          </w:tcPr>
          <w:p w14:paraId="37F75DC9" w14:textId="2B62FEDE" w:rsidR="00154A2B" w:rsidRPr="00A521CA" w:rsidRDefault="00881FF7" w:rsidP="002D4F72">
            <w:pPr>
              <w:rPr>
                <w:rFonts w:eastAsia="MS Mincho"/>
                <w:sz w:val="20"/>
              </w:rPr>
            </w:pPr>
            <w:r w:rsidRPr="00A521CA">
              <w:rPr>
                <w:rFonts w:eastAsia="MS Mincho"/>
                <w:sz w:val="20"/>
              </w:rPr>
              <w:t xml:space="preserve">This feature was targeted at VoLTE, which does not seem to be a main motivation for MTBG </w:t>
            </w:r>
          </w:p>
        </w:tc>
        <w:tc>
          <w:tcPr>
            <w:tcW w:w="1985" w:type="dxa"/>
          </w:tcPr>
          <w:p w14:paraId="27D5ADDB" w14:textId="27568504" w:rsidR="00154A2B" w:rsidRPr="00A521CA" w:rsidRDefault="00881FF7" w:rsidP="002D4F72">
            <w:pPr>
              <w:rPr>
                <w:rFonts w:eastAsia="MS Mincho"/>
                <w:sz w:val="20"/>
              </w:rPr>
            </w:pPr>
            <w:r w:rsidRPr="00A521CA">
              <w:rPr>
                <w:rFonts w:eastAsia="MS Mincho"/>
                <w:sz w:val="20"/>
              </w:rPr>
              <w:t>No</w:t>
            </w:r>
          </w:p>
        </w:tc>
      </w:tr>
      <w:tr w:rsidR="00154A2B" w14:paraId="557E35A8" w14:textId="77777777" w:rsidTr="00881FF7">
        <w:tc>
          <w:tcPr>
            <w:tcW w:w="3716" w:type="dxa"/>
          </w:tcPr>
          <w:p w14:paraId="587CBDCD" w14:textId="2DA7B138" w:rsidR="00154A2B" w:rsidRPr="00A521CA" w:rsidRDefault="00881FF7" w:rsidP="002D4F72">
            <w:pPr>
              <w:rPr>
                <w:rFonts w:eastAsia="MS Mincho"/>
                <w:sz w:val="20"/>
              </w:rPr>
            </w:pPr>
            <w:proofErr w:type="gramStart"/>
            <w:r w:rsidRPr="00A521CA">
              <w:rPr>
                <w:rFonts w:eastAsia="MS Mincho"/>
                <w:sz w:val="20"/>
              </w:rPr>
              <w:t>2984 bit</w:t>
            </w:r>
            <w:proofErr w:type="gramEnd"/>
            <w:r w:rsidRPr="00A521CA">
              <w:rPr>
                <w:rFonts w:eastAsia="MS Mincho"/>
                <w:sz w:val="20"/>
              </w:rPr>
              <w:t xml:space="preserve"> UL TBS</w:t>
            </w:r>
          </w:p>
        </w:tc>
        <w:tc>
          <w:tcPr>
            <w:tcW w:w="4790" w:type="dxa"/>
          </w:tcPr>
          <w:p w14:paraId="448A3EC2" w14:textId="3B9A9A96" w:rsidR="00154A2B" w:rsidRPr="00A521CA" w:rsidRDefault="00881FF7" w:rsidP="002D4F72">
            <w:pPr>
              <w:rPr>
                <w:rFonts w:eastAsia="MS Mincho"/>
                <w:sz w:val="20"/>
              </w:rPr>
            </w:pPr>
            <w:r w:rsidRPr="00A521CA">
              <w:rPr>
                <w:rFonts w:eastAsia="MS Mincho"/>
                <w:sz w:val="20"/>
              </w:rPr>
              <w:t>Maximises UL throughput in good channel conditions. Increasing throughput is in-line with MTBG objectives</w:t>
            </w:r>
          </w:p>
        </w:tc>
        <w:tc>
          <w:tcPr>
            <w:tcW w:w="1985" w:type="dxa"/>
          </w:tcPr>
          <w:p w14:paraId="069677CA" w14:textId="1DC5C20C" w:rsidR="00154A2B" w:rsidRPr="00A521CA" w:rsidRDefault="00881FF7" w:rsidP="002D4F72">
            <w:pPr>
              <w:rPr>
                <w:rFonts w:eastAsia="MS Mincho"/>
                <w:sz w:val="20"/>
              </w:rPr>
            </w:pPr>
            <w:r w:rsidRPr="00A521CA">
              <w:rPr>
                <w:rFonts w:eastAsia="MS Mincho"/>
                <w:sz w:val="20"/>
              </w:rPr>
              <w:t>Yes</w:t>
            </w:r>
          </w:p>
        </w:tc>
      </w:tr>
      <w:tr w:rsidR="00154A2B" w14:paraId="5BCE5A29" w14:textId="77777777" w:rsidTr="00881FF7">
        <w:tc>
          <w:tcPr>
            <w:tcW w:w="3716" w:type="dxa"/>
          </w:tcPr>
          <w:p w14:paraId="65DD4D7D" w14:textId="18D362EE" w:rsidR="00154A2B" w:rsidRPr="00A521CA" w:rsidRDefault="00881FF7" w:rsidP="002D4F72">
            <w:pPr>
              <w:rPr>
                <w:rFonts w:eastAsia="MS Mincho"/>
                <w:sz w:val="20"/>
              </w:rPr>
            </w:pPr>
            <w:r w:rsidRPr="00A521CA">
              <w:rPr>
                <w:rFonts w:eastAsia="MS Mincho"/>
                <w:sz w:val="20"/>
              </w:rPr>
              <w:t>HARQ A/N bundling in CE Mode A</w:t>
            </w:r>
          </w:p>
        </w:tc>
        <w:tc>
          <w:tcPr>
            <w:tcW w:w="4790" w:type="dxa"/>
          </w:tcPr>
          <w:p w14:paraId="75F29DFB" w14:textId="6C96591D" w:rsidR="00154A2B" w:rsidRPr="00A521CA" w:rsidRDefault="00881FF7" w:rsidP="002D4F72">
            <w:pPr>
              <w:rPr>
                <w:rFonts w:eastAsia="MS Mincho"/>
                <w:sz w:val="20"/>
              </w:rPr>
            </w:pPr>
            <w:r w:rsidRPr="00A521CA">
              <w:rPr>
                <w:rFonts w:eastAsia="MS Mincho"/>
                <w:sz w:val="20"/>
              </w:rPr>
              <w:t>MTBG will have to support its own HARQ A/N bundling scheme. It is not clear that this can be the same scheme as for Rel-14</w:t>
            </w:r>
          </w:p>
        </w:tc>
        <w:tc>
          <w:tcPr>
            <w:tcW w:w="1985" w:type="dxa"/>
          </w:tcPr>
          <w:p w14:paraId="77A3A3C3" w14:textId="231EEA22" w:rsidR="00154A2B" w:rsidRPr="00A521CA" w:rsidRDefault="00881FF7" w:rsidP="002D4F72">
            <w:pPr>
              <w:rPr>
                <w:rFonts w:eastAsia="MS Mincho"/>
                <w:sz w:val="20"/>
              </w:rPr>
            </w:pPr>
            <w:r w:rsidRPr="00A521CA">
              <w:rPr>
                <w:rFonts w:eastAsia="MS Mincho"/>
                <w:sz w:val="20"/>
              </w:rPr>
              <w:t xml:space="preserve">Rel-14 scheme not </w:t>
            </w:r>
            <w:r w:rsidR="00246E52" w:rsidRPr="00A521CA">
              <w:rPr>
                <w:rFonts w:eastAsia="MS Mincho"/>
                <w:sz w:val="20"/>
              </w:rPr>
              <w:t xml:space="preserve">necessarily </w:t>
            </w:r>
            <w:r w:rsidRPr="00A521CA">
              <w:rPr>
                <w:rFonts w:eastAsia="MS Mincho"/>
                <w:sz w:val="20"/>
              </w:rPr>
              <w:t xml:space="preserve">supported, but MTBG </w:t>
            </w:r>
            <w:r w:rsidR="00246E52" w:rsidRPr="00A521CA">
              <w:rPr>
                <w:rFonts w:eastAsia="MS Mincho"/>
                <w:sz w:val="20"/>
              </w:rPr>
              <w:t>will</w:t>
            </w:r>
            <w:r w:rsidRPr="00A521CA">
              <w:rPr>
                <w:rFonts w:eastAsia="MS Mincho"/>
                <w:sz w:val="20"/>
              </w:rPr>
              <w:t xml:space="preserve"> support bundling</w:t>
            </w:r>
          </w:p>
        </w:tc>
      </w:tr>
      <w:tr w:rsidR="00154A2B" w14:paraId="25A8DD23" w14:textId="77777777" w:rsidTr="00881FF7">
        <w:tc>
          <w:tcPr>
            <w:tcW w:w="3716" w:type="dxa"/>
          </w:tcPr>
          <w:p w14:paraId="1665CD82" w14:textId="3B5547B0" w:rsidR="00154A2B" w:rsidRPr="00A521CA" w:rsidRDefault="00881FF7" w:rsidP="002D4F72">
            <w:pPr>
              <w:rPr>
                <w:rFonts w:eastAsia="MS Mincho"/>
                <w:sz w:val="20"/>
              </w:rPr>
            </w:pPr>
            <w:r w:rsidRPr="00A521CA">
              <w:rPr>
                <w:rFonts w:eastAsia="MS Mincho"/>
                <w:sz w:val="20"/>
              </w:rPr>
              <w:t>5 / 20MHz channel bandwidths</w:t>
            </w:r>
          </w:p>
        </w:tc>
        <w:tc>
          <w:tcPr>
            <w:tcW w:w="4790" w:type="dxa"/>
          </w:tcPr>
          <w:p w14:paraId="5A89BC4E" w14:textId="67ADCD79" w:rsidR="00154A2B" w:rsidRPr="00A521CA" w:rsidRDefault="00881FF7" w:rsidP="002D4F72">
            <w:pPr>
              <w:rPr>
                <w:rFonts w:eastAsia="MS Mincho"/>
                <w:sz w:val="20"/>
              </w:rPr>
            </w:pPr>
            <w:r w:rsidRPr="00A521CA">
              <w:rPr>
                <w:rFonts w:eastAsia="MS Mincho"/>
                <w:sz w:val="20"/>
              </w:rPr>
              <w:t>MTBG should be applicable to these bandwidths to maximise throughput</w:t>
            </w:r>
          </w:p>
        </w:tc>
        <w:tc>
          <w:tcPr>
            <w:tcW w:w="1985" w:type="dxa"/>
          </w:tcPr>
          <w:p w14:paraId="7109F27F" w14:textId="4A9F5F4E" w:rsidR="00154A2B" w:rsidRPr="00A521CA" w:rsidRDefault="00881FF7" w:rsidP="002D4F72">
            <w:pPr>
              <w:rPr>
                <w:rFonts w:eastAsia="MS Mincho"/>
                <w:sz w:val="20"/>
              </w:rPr>
            </w:pPr>
            <w:r w:rsidRPr="00A521CA">
              <w:rPr>
                <w:rFonts w:eastAsia="MS Mincho"/>
                <w:sz w:val="20"/>
              </w:rPr>
              <w:t>Yes</w:t>
            </w:r>
          </w:p>
        </w:tc>
      </w:tr>
      <w:tr w:rsidR="00154A2B" w14:paraId="2355134D" w14:textId="77777777" w:rsidTr="00881FF7">
        <w:tc>
          <w:tcPr>
            <w:tcW w:w="3716" w:type="dxa"/>
          </w:tcPr>
          <w:p w14:paraId="5A3849E0" w14:textId="21154657" w:rsidR="00154A2B" w:rsidRPr="00A521CA" w:rsidRDefault="00881FF7" w:rsidP="002D4F72">
            <w:pPr>
              <w:rPr>
                <w:rFonts w:eastAsia="MS Mincho"/>
                <w:sz w:val="20"/>
              </w:rPr>
            </w:pPr>
            <w:r w:rsidRPr="00A521CA">
              <w:rPr>
                <w:rFonts w:eastAsia="MS Mincho"/>
                <w:sz w:val="20"/>
              </w:rPr>
              <w:t>10 DL HARQ processes</w:t>
            </w:r>
          </w:p>
        </w:tc>
        <w:tc>
          <w:tcPr>
            <w:tcW w:w="4790" w:type="dxa"/>
          </w:tcPr>
          <w:p w14:paraId="3C76FF20" w14:textId="292B41B2" w:rsidR="00154A2B" w:rsidRPr="00A521CA" w:rsidRDefault="00224002" w:rsidP="002D4F72">
            <w:pPr>
              <w:rPr>
                <w:rFonts w:eastAsia="MS Mincho"/>
                <w:sz w:val="20"/>
              </w:rPr>
            </w:pPr>
            <w:r w:rsidRPr="00A521CA">
              <w:rPr>
                <w:rFonts w:eastAsia="MS Mincho"/>
                <w:sz w:val="20"/>
              </w:rPr>
              <w:t>MTBG supports up to 8 transport blocks. We do not see the benefit of optimisations to support 2 “orphan” HARQ processes</w:t>
            </w:r>
          </w:p>
        </w:tc>
        <w:tc>
          <w:tcPr>
            <w:tcW w:w="1985" w:type="dxa"/>
          </w:tcPr>
          <w:p w14:paraId="3C2645EB" w14:textId="15C62F63" w:rsidR="00154A2B" w:rsidRPr="00A521CA" w:rsidRDefault="00224002" w:rsidP="002D4F72">
            <w:pPr>
              <w:rPr>
                <w:rFonts w:eastAsia="MS Mincho"/>
                <w:sz w:val="20"/>
              </w:rPr>
            </w:pPr>
            <w:r w:rsidRPr="00A521CA">
              <w:rPr>
                <w:rFonts w:eastAsia="MS Mincho"/>
                <w:sz w:val="20"/>
              </w:rPr>
              <w:t>No</w:t>
            </w:r>
          </w:p>
        </w:tc>
      </w:tr>
      <w:tr w:rsidR="00154A2B" w14:paraId="04518C5C" w14:textId="77777777" w:rsidTr="00881FF7">
        <w:tc>
          <w:tcPr>
            <w:tcW w:w="3716" w:type="dxa"/>
          </w:tcPr>
          <w:p w14:paraId="11D23D07" w14:textId="1EA106EE" w:rsidR="00154A2B" w:rsidRPr="00A521CA" w:rsidRDefault="00224002" w:rsidP="002D4F72">
            <w:pPr>
              <w:rPr>
                <w:rFonts w:eastAsia="MS Mincho"/>
                <w:sz w:val="20"/>
              </w:rPr>
            </w:pPr>
            <w:r w:rsidRPr="00A521CA">
              <w:rPr>
                <w:rFonts w:eastAsia="MS Mincho"/>
                <w:sz w:val="20"/>
              </w:rPr>
              <w:t>Dynamic HARQ-ACK delay</w:t>
            </w:r>
          </w:p>
        </w:tc>
        <w:tc>
          <w:tcPr>
            <w:tcW w:w="4790" w:type="dxa"/>
          </w:tcPr>
          <w:p w14:paraId="497BF708" w14:textId="132014EC" w:rsidR="00154A2B" w:rsidRPr="00A521CA" w:rsidRDefault="00224002" w:rsidP="002D4F72">
            <w:pPr>
              <w:rPr>
                <w:rFonts w:eastAsia="MS Mincho"/>
                <w:sz w:val="20"/>
              </w:rPr>
            </w:pPr>
            <w:r w:rsidRPr="00A521CA">
              <w:rPr>
                <w:rFonts w:eastAsia="MS Mincho"/>
                <w:sz w:val="20"/>
              </w:rPr>
              <w:t>A feature targeted at VoLTE</w:t>
            </w:r>
            <w:r w:rsidR="00246E52" w:rsidRPr="00A521CA">
              <w:rPr>
                <w:rFonts w:eastAsia="MS Mincho"/>
                <w:sz w:val="20"/>
              </w:rPr>
              <w:t>,</w:t>
            </w:r>
            <w:r w:rsidRPr="00A521CA">
              <w:rPr>
                <w:rFonts w:eastAsia="MS Mincho"/>
                <w:sz w:val="20"/>
              </w:rPr>
              <w:t xml:space="preserve"> </w:t>
            </w:r>
            <w:r w:rsidRPr="00A521CA">
              <w:rPr>
                <w:rFonts w:eastAsia="MS Mincho"/>
                <w:sz w:val="20"/>
              </w:rPr>
              <w:t>which does not seem to be a main motivation for MTBG</w:t>
            </w:r>
            <w:r w:rsidRPr="00A521CA">
              <w:rPr>
                <w:rFonts w:eastAsia="MS Mincho"/>
                <w:sz w:val="20"/>
              </w:rPr>
              <w:t>. It might be necessary to specify new HARQ-ACK delay relationships for MTBG, but these do not necessarily follow the Rel-14 scheme</w:t>
            </w:r>
          </w:p>
        </w:tc>
        <w:tc>
          <w:tcPr>
            <w:tcW w:w="1985" w:type="dxa"/>
          </w:tcPr>
          <w:p w14:paraId="33C0BE4E" w14:textId="7DA946B4" w:rsidR="00154A2B" w:rsidRPr="00A521CA" w:rsidRDefault="00224002" w:rsidP="002D4F72">
            <w:pPr>
              <w:rPr>
                <w:rFonts w:eastAsia="MS Mincho"/>
                <w:sz w:val="20"/>
              </w:rPr>
            </w:pPr>
            <w:r w:rsidRPr="00A521CA">
              <w:rPr>
                <w:rFonts w:eastAsia="MS Mincho"/>
                <w:sz w:val="20"/>
              </w:rPr>
              <w:t>No</w:t>
            </w:r>
          </w:p>
        </w:tc>
      </w:tr>
      <w:tr w:rsidR="00154A2B" w14:paraId="7A0236B0" w14:textId="77777777" w:rsidTr="00881FF7">
        <w:tc>
          <w:tcPr>
            <w:tcW w:w="3716" w:type="dxa"/>
          </w:tcPr>
          <w:p w14:paraId="4782469D" w14:textId="658F1E1B" w:rsidR="00154A2B" w:rsidRPr="00A521CA" w:rsidRDefault="00224002" w:rsidP="002D4F72">
            <w:pPr>
              <w:rPr>
                <w:rFonts w:eastAsia="MS Mincho"/>
                <w:sz w:val="20"/>
              </w:rPr>
            </w:pPr>
            <w:r w:rsidRPr="00A521CA">
              <w:rPr>
                <w:rFonts w:eastAsia="MS Mincho"/>
                <w:sz w:val="20"/>
              </w:rPr>
              <w:t>Flexible starting PRB</w:t>
            </w:r>
          </w:p>
        </w:tc>
        <w:tc>
          <w:tcPr>
            <w:tcW w:w="4790" w:type="dxa"/>
          </w:tcPr>
          <w:p w14:paraId="6BDBE0C8" w14:textId="349FC171" w:rsidR="00154A2B" w:rsidRPr="00A521CA" w:rsidRDefault="00224002" w:rsidP="002D4F72">
            <w:pPr>
              <w:rPr>
                <w:rFonts w:eastAsia="MS Mincho"/>
                <w:sz w:val="20"/>
              </w:rPr>
            </w:pPr>
            <w:r w:rsidRPr="00A521CA">
              <w:rPr>
                <w:rFonts w:eastAsia="MS Mincho"/>
                <w:sz w:val="20"/>
              </w:rPr>
              <w:t>It should be possible to align MTBG transmissions with RBG for other UEs, so flexible starting PRB should be supported</w:t>
            </w:r>
          </w:p>
        </w:tc>
        <w:tc>
          <w:tcPr>
            <w:tcW w:w="1985" w:type="dxa"/>
          </w:tcPr>
          <w:p w14:paraId="6D4B3A23" w14:textId="2265C201" w:rsidR="00224002" w:rsidRPr="00A521CA" w:rsidRDefault="00224002" w:rsidP="002D4F72">
            <w:pPr>
              <w:rPr>
                <w:rFonts w:eastAsia="MS Mincho"/>
                <w:sz w:val="20"/>
              </w:rPr>
            </w:pPr>
            <w:r w:rsidRPr="00A521CA">
              <w:rPr>
                <w:rFonts w:eastAsia="MS Mincho"/>
                <w:sz w:val="20"/>
              </w:rPr>
              <w:t>Yes</w:t>
            </w:r>
          </w:p>
        </w:tc>
      </w:tr>
      <w:tr w:rsidR="00224002" w14:paraId="10992FEA" w14:textId="77777777" w:rsidTr="00881FF7">
        <w:tc>
          <w:tcPr>
            <w:tcW w:w="3716" w:type="dxa"/>
          </w:tcPr>
          <w:p w14:paraId="484534E2" w14:textId="4A0250DF" w:rsidR="00224002" w:rsidRPr="00A521CA" w:rsidRDefault="00224002" w:rsidP="002D4F72">
            <w:pPr>
              <w:rPr>
                <w:rFonts w:eastAsia="MS Mincho"/>
                <w:sz w:val="20"/>
              </w:rPr>
            </w:pPr>
            <w:r w:rsidRPr="00A521CA">
              <w:rPr>
                <w:rFonts w:eastAsia="MS Mincho"/>
                <w:sz w:val="20"/>
              </w:rPr>
              <w:lastRenderedPageBreak/>
              <w:t>Sub-PRB PUSCH</w:t>
            </w:r>
          </w:p>
        </w:tc>
        <w:tc>
          <w:tcPr>
            <w:tcW w:w="4790" w:type="dxa"/>
          </w:tcPr>
          <w:p w14:paraId="220A9D71" w14:textId="778E7E16" w:rsidR="00224002" w:rsidRPr="00A521CA" w:rsidRDefault="00224002" w:rsidP="002D4F72">
            <w:pPr>
              <w:rPr>
                <w:rFonts w:eastAsia="MS Mincho"/>
                <w:sz w:val="20"/>
              </w:rPr>
            </w:pPr>
            <w:r w:rsidRPr="00A521CA">
              <w:rPr>
                <w:rFonts w:eastAsia="MS Mincho"/>
                <w:sz w:val="20"/>
              </w:rPr>
              <w:t>One of the goals of sub-PRB PUSCH was to increase spectral efficiency, which is also a motivation for MTBG, so sub-PRB for PUSCH should be supported</w:t>
            </w:r>
          </w:p>
        </w:tc>
        <w:tc>
          <w:tcPr>
            <w:tcW w:w="1985" w:type="dxa"/>
          </w:tcPr>
          <w:p w14:paraId="0C46BBA4" w14:textId="12D1C9E2" w:rsidR="00224002" w:rsidRPr="00A521CA" w:rsidRDefault="00224002" w:rsidP="002D4F72">
            <w:pPr>
              <w:rPr>
                <w:rFonts w:eastAsia="MS Mincho"/>
                <w:sz w:val="20"/>
              </w:rPr>
            </w:pPr>
            <w:r w:rsidRPr="00A521CA">
              <w:rPr>
                <w:rFonts w:eastAsia="MS Mincho"/>
                <w:sz w:val="20"/>
              </w:rPr>
              <w:t>Yes</w:t>
            </w:r>
          </w:p>
        </w:tc>
      </w:tr>
      <w:tr w:rsidR="00224002" w14:paraId="2510801E" w14:textId="77777777" w:rsidTr="00881FF7">
        <w:tc>
          <w:tcPr>
            <w:tcW w:w="3716" w:type="dxa"/>
          </w:tcPr>
          <w:p w14:paraId="7F685B16" w14:textId="1B505F83" w:rsidR="00224002" w:rsidRPr="00A521CA" w:rsidRDefault="00224002" w:rsidP="002D4F72">
            <w:pPr>
              <w:rPr>
                <w:rFonts w:eastAsia="MS Mincho"/>
                <w:sz w:val="20"/>
              </w:rPr>
            </w:pPr>
            <w:r w:rsidRPr="00A521CA">
              <w:rPr>
                <w:rFonts w:eastAsia="MS Mincho"/>
                <w:sz w:val="20"/>
              </w:rPr>
              <w:t>64QAM in DL</w:t>
            </w:r>
          </w:p>
        </w:tc>
        <w:tc>
          <w:tcPr>
            <w:tcW w:w="4790" w:type="dxa"/>
          </w:tcPr>
          <w:p w14:paraId="617B5C18" w14:textId="20B33BDB" w:rsidR="00224002" w:rsidRPr="00A521CA" w:rsidRDefault="00224002" w:rsidP="002D4F72">
            <w:pPr>
              <w:rPr>
                <w:rFonts w:eastAsia="MS Mincho"/>
                <w:sz w:val="20"/>
              </w:rPr>
            </w:pPr>
            <w:r w:rsidRPr="00A521CA">
              <w:rPr>
                <w:rFonts w:eastAsia="MS Mincho"/>
                <w:sz w:val="20"/>
              </w:rPr>
              <w:t>64QAM transmissions lead to higher spectral efficiency, which is consistent with MTBG</w:t>
            </w:r>
          </w:p>
        </w:tc>
        <w:tc>
          <w:tcPr>
            <w:tcW w:w="1985" w:type="dxa"/>
          </w:tcPr>
          <w:p w14:paraId="5488F449" w14:textId="3C3875AD" w:rsidR="00224002" w:rsidRPr="00A521CA" w:rsidRDefault="00224002" w:rsidP="002D4F72">
            <w:pPr>
              <w:rPr>
                <w:rFonts w:eastAsia="MS Mincho"/>
                <w:sz w:val="20"/>
              </w:rPr>
            </w:pPr>
            <w:r w:rsidRPr="00A521CA">
              <w:rPr>
                <w:rFonts w:eastAsia="MS Mincho"/>
                <w:sz w:val="20"/>
              </w:rPr>
              <w:t>Yes</w:t>
            </w:r>
          </w:p>
        </w:tc>
      </w:tr>
      <w:tr w:rsidR="00D03C4C" w14:paraId="494C4363" w14:textId="77777777" w:rsidTr="00881FF7">
        <w:tc>
          <w:tcPr>
            <w:tcW w:w="3716" w:type="dxa"/>
          </w:tcPr>
          <w:p w14:paraId="69BFFA7C" w14:textId="1D624CC3" w:rsidR="00D03C4C" w:rsidRPr="00A521CA" w:rsidRDefault="00D03C4C" w:rsidP="002D4F72">
            <w:pPr>
              <w:rPr>
                <w:rFonts w:eastAsia="MS Mincho"/>
                <w:sz w:val="20"/>
              </w:rPr>
            </w:pPr>
            <w:r w:rsidRPr="00A521CA">
              <w:rPr>
                <w:rFonts w:eastAsia="MS Mincho"/>
                <w:sz w:val="20"/>
              </w:rPr>
              <w:t>UL HARQ A/N feedback in DCI</w:t>
            </w:r>
          </w:p>
        </w:tc>
        <w:tc>
          <w:tcPr>
            <w:tcW w:w="4790" w:type="dxa"/>
          </w:tcPr>
          <w:p w14:paraId="04F95F89" w14:textId="7F2325FD" w:rsidR="00D03C4C" w:rsidRPr="00A521CA" w:rsidRDefault="00D03C4C" w:rsidP="002D4F72">
            <w:pPr>
              <w:rPr>
                <w:rFonts w:eastAsia="MS Mincho"/>
                <w:sz w:val="20"/>
              </w:rPr>
            </w:pPr>
            <w:r w:rsidRPr="00A521CA">
              <w:rPr>
                <w:rFonts w:eastAsia="MS Mincho"/>
                <w:sz w:val="20"/>
              </w:rPr>
              <w:t>Supports early termination. MTBG should also support early termination schemes to reduce power consumption.</w:t>
            </w:r>
          </w:p>
        </w:tc>
        <w:tc>
          <w:tcPr>
            <w:tcW w:w="1985" w:type="dxa"/>
          </w:tcPr>
          <w:p w14:paraId="6DD2C13D" w14:textId="3D4F0D6C" w:rsidR="00D03C4C" w:rsidRPr="00A521CA" w:rsidRDefault="00D03C4C" w:rsidP="002D4F72">
            <w:pPr>
              <w:rPr>
                <w:rFonts w:eastAsia="MS Mincho"/>
                <w:sz w:val="20"/>
              </w:rPr>
            </w:pPr>
            <w:r w:rsidRPr="00A521CA">
              <w:rPr>
                <w:rFonts w:eastAsia="MS Mincho"/>
                <w:sz w:val="20"/>
              </w:rPr>
              <w:t>Yes</w:t>
            </w:r>
          </w:p>
        </w:tc>
      </w:tr>
    </w:tbl>
    <w:p w14:paraId="2448F524" w14:textId="3529340D" w:rsidR="00154A2B" w:rsidRDefault="00154A2B" w:rsidP="002D4F72">
      <w:pPr>
        <w:rPr>
          <w:rFonts w:eastAsia="MS Mincho"/>
        </w:rPr>
      </w:pPr>
    </w:p>
    <w:p w14:paraId="08BE9C1C" w14:textId="130FF3B9" w:rsidR="00246E52" w:rsidRPr="00246E52" w:rsidRDefault="00246E52" w:rsidP="002D4F72">
      <w:pPr>
        <w:rPr>
          <w:rFonts w:eastAsia="MS Mincho"/>
          <w:b/>
        </w:rPr>
      </w:pPr>
      <w:r w:rsidRPr="00246E52">
        <w:rPr>
          <w:rFonts w:eastAsia="MS Mincho"/>
          <w:b/>
        </w:rPr>
        <w:t xml:space="preserve">Proposal </w:t>
      </w:r>
      <w:r w:rsidR="00A521CA">
        <w:rPr>
          <w:rFonts w:eastAsia="MS Mincho"/>
          <w:b/>
        </w:rPr>
        <w:t>5</w:t>
      </w:r>
      <w:r w:rsidRPr="00246E52">
        <w:rPr>
          <w:rFonts w:eastAsia="MS Mincho"/>
          <w:b/>
        </w:rPr>
        <w:t>. The following features could be configured to work alongside the MTBG feature:</w:t>
      </w:r>
    </w:p>
    <w:p w14:paraId="2E3C5D52" w14:textId="77777777" w:rsidR="00246E52" w:rsidRPr="00246E52" w:rsidRDefault="00246E52" w:rsidP="00246E52">
      <w:pPr>
        <w:numPr>
          <w:ilvl w:val="0"/>
          <w:numId w:val="41"/>
        </w:numPr>
        <w:spacing w:after="0"/>
        <w:rPr>
          <w:rFonts w:eastAsia="Times New Roman"/>
          <w:b/>
        </w:rPr>
      </w:pPr>
      <w:r w:rsidRPr="00246E52">
        <w:rPr>
          <w:rFonts w:eastAsia="Times New Roman"/>
          <w:b/>
        </w:rPr>
        <w:t>Rel-14 feature for 2984 bits max UL TBS in 1.4 MHz in CE mode A</w:t>
      </w:r>
    </w:p>
    <w:p w14:paraId="6DC08297" w14:textId="77777777" w:rsidR="00246E52" w:rsidRPr="00246E52" w:rsidRDefault="00246E52" w:rsidP="00246E52">
      <w:pPr>
        <w:numPr>
          <w:ilvl w:val="0"/>
          <w:numId w:val="41"/>
        </w:numPr>
        <w:spacing w:after="0"/>
        <w:rPr>
          <w:rFonts w:eastAsia="Times New Roman"/>
          <w:b/>
        </w:rPr>
      </w:pPr>
      <w:r w:rsidRPr="00246E52">
        <w:rPr>
          <w:rFonts w:eastAsia="Times New Roman"/>
          <w:b/>
        </w:rPr>
        <w:t>Rel-14 features for 5 or 20 MHz max PDSCH/PUSCH channel bandwidths in CE mode A/B</w:t>
      </w:r>
    </w:p>
    <w:p w14:paraId="7ABC38B5" w14:textId="77777777" w:rsidR="00246E52" w:rsidRPr="00246E52" w:rsidRDefault="00246E52" w:rsidP="00246E52">
      <w:pPr>
        <w:numPr>
          <w:ilvl w:val="0"/>
          <w:numId w:val="41"/>
        </w:numPr>
        <w:spacing w:after="0"/>
        <w:rPr>
          <w:rFonts w:eastAsia="Times New Roman"/>
          <w:b/>
        </w:rPr>
      </w:pPr>
      <w:r w:rsidRPr="00246E52">
        <w:rPr>
          <w:rFonts w:eastAsia="Times New Roman"/>
          <w:b/>
        </w:rPr>
        <w:t>Rel-15 features for flexible starting PRB for PDSCH/PUSCH in CE mode A/B</w:t>
      </w:r>
    </w:p>
    <w:p w14:paraId="21D860BB" w14:textId="77777777" w:rsidR="00246E52" w:rsidRPr="00246E52" w:rsidRDefault="00246E52" w:rsidP="00246E52">
      <w:pPr>
        <w:numPr>
          <w:ilvl w:val="0"/>
          <w:numId w:val="41"/>
        </w:numPr>
        <w:spacing w:after="0"/>
        <w:rPr>
          <w:rFonts w:eastAsia="Times New Roman"/>
          <w:b/>
        </w:rPr>
      </w:pPr>
      <w:r w:rsidRPr="00246E52">
        <w:rPr>
          <w:rFonts w:eastAsia="Times New Roman"/>
          <w:b/>
        </w:rPr>
        <w:t>Rel-15 feature for PUSCH sub-PRB allocation in CE mode A/B</w:t>
      </w:r>
    </w:p>
    <w:p w14:paraId="0503ABD8" w14:textId="77777777" w:rsidR="00246E52" w:rsidRPr="00246E52" w:rsidRDefault="00246E52" w:rsidP="00246E52">
      <w:pPr>
        <w:numPr>
          <w:ilvl w:val="0"/>
          <w:numId w:val="41"/>
        </w:numPr>
        <w:spacing w:after="0"/>
        <w:rPr>
          <w:rFonts w:eastAsia="Times New Roman"/>
          <w:b/>
        </w:rPr>
      </w:pPr>
      <w:r w:rsidRPr="00246E52">
        <w:rPr>
          <w:rFonts w:eastAsia="Times New Roman"/>
          <w:b/>
        </w:rPr>
        <w:t>Rel-15 feature for 64QAM for non-repeated unicast PDSCH in CE mode A</w:t>
      </w:r>
    </w:p>
    <w:p w14:paraId="78E44300" w14:textId="77777777" w:rsidR="00246E52" w:rsidRPr="00246E52" w:rsidRDefault="00246E52" w:rsidP="00246E52">
      <w:pPr>
        <w:numPr>
          <w:ilvl w:val="0"/>
          <w:numId w:val="41"/>
        </w:numPr>
        <w:spacing w:after="0"/>
        <w:rPr>
          <w:rFonts w:eastAsia="Times New Roman"/>
          <w:b/>
        </w:rPr>
      </w:pPr>
      <w:r w:rsidRPr="00246E52">
        <w:rPr>
          <w:rFonts w:eastAsia="Times New Roman"/>
          <w:b/>
        </w:rPr>
        <w:t>Rel-15 feature for uplink HARQ-ACK feedback in DCI in CE mode A/B</w:t>
      </w:r>
    </w:p>
    <w:p w14:paraId="66DDD5DE" w14:textId="77777777" w:rsidR="00246E52" w:rsidRPr="00154A2B" w:rsidRDefault="00246E52" w:rsidP="002D4F72">
      <w:pPr>
        <w:rPr>
          <w:rFonts w:eastAsia="MS Mincho"/>
        </w:rPr>
      </w:pPr>
    </w:p>
    <w:p w14:paraId="052DBC2D" w14:textId="44376350" w:rsidR="00855F39" w:rsidRDefault="002C286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Summary of Proposals</w:t>
      </w:r>
    </w:p>
    <w:p w14:paraId="4698BDE6" w14:textId="73F36DE1" w:rsidR="00855F39" w:rsidRDefault="002C2869" w:rsidP="00855F39">
      <w:r>
        <w:t>This contribution has considered the scheduling of multiple DL / UL transport blocks and makes the following proposals:</w:t>
      </w:r>
    </w:p>
    <w:p w14:paraId="7FCD40BF" w14:textId="77777777" w:rsidR="00A521CA" w:rsidRDefault="00A521CA" w:rsidP="00A521CA">
      <w:pPr>
        <w:rPr>
          <w:lang w:val="en-US"/>
        </w:rPr>
      </w:pPr>
      <w:r w:rsidRPr="00792E00">
        <w:rPr>
          <w:b/>
          <w:lang w:val="en-US"/>
        </w:rPr>
        <w:t xml:space="preserve">Proposal </w:t>
      </w:r>
      <w:r>
        <w:rPr>
          <w:b/>
          <w:lang w:val="en-US"/>
        </w:rPr>
        <w:t>1:</w:t>
      </w:r>
      <w:r w:rsidRPr="00792E00">
        <w:rPr>
          <w:b/>
          <w:lang w:val="en-US"/>
        </w:rPr>
        <w:t xml:space="preserve"> Scheduling gaps for multiple transport blocks </w:t>
      </w:r>
      <w:r>
        <w:rPr>
          <w:b/>
          <w:lang w:val="en-US"/>
        </w:rPr>
        <w:t>can be</w:t>
      </w:r>
      <w:r w:rsidRPr="00792E00">
        <w:rPr>
          <w:b/>
          <w:lang w:val="en-US"/>
        </w:rPr>
        <w:t xml:space="preserve"> supported</w:t>
      </w:r>
      <w:r>
        <w:rPr>
          <w:b/>
          <w:lang w:val="en-US"/>
        </w:rPr>
        <w:t xml:space="preserve">, where a scheduling gap of between 0 and </w:t>
      </w:r>
      <w:proofErr w:type="spellStart"/>
      <w:r w:rsidRPr="00CA6F42">
        <w:rPr>
          <w:b/>
          <w:i/>
          <w:lang w:val="en-US"/>
        </w:rPr>
        <w:t>N</w:t>
      </w:r>
      <w:r w:rsidRPr="00CA6F42">
        <w:rPr>
          <w:b/>
          <w:i/>
          <w:vertAlign w:val="subscript"/>
          <w:lang w:val="en-US"/>
        </w:rPr>
        <w:t>schedgap</w:t>
      </w:r>
      <w:proofErr w:type="spellEnd"/>
      <w:r>
        <w:rPr>
          <w:b/>
          <w:lang w:val="en-US"/>
        </w:rPr>
        <w:t xml:space="preserve"> subframes can be configured by [RRC or DCI]</w:t>
      </w:r>
      <w:r>
        <w:rPr>
          <w:lang w:val="en-US"/>
        </w:rPr>
        <w:t>.</w:t>
      </w:r>
    </w:p>
    <w:p w14:paraId="6C8051DC" w14:textId="77777777" w:rsidR="00A521CA" w:rsidRDefault="00A521CA" w:rsidP="00A521CA">
      <w:pPr>
        <w:rPr>
          <w:bCs/>
          <w:noProof/>
          <w:lang w:val="en-US" w:eastAsia="en-GB"/>
        </w:rPr>
      </w:pPr>
      <w:r w:rsidRPr="00657549">
        <w:rPr>
          <w:b/>
          <w:bCs/>
          <w:noProof/>
          <w:lang w:val="en-US" w:eastAsia="en-GB"/>
        </w:rPr>
        <w:t xml:space="preserve">Proposal </w:t>
      </w:r>
      <w:r>
        <w:rPr>
          <w:b/>
          <w:bCs/>
          <w:noProof/>
          <w:lang w:val="en-US" w:eastAsia="en-GB"/>
        </w:rPr>
        <w:t>2</w:t>
      </w:r>
      <w:r w:rsidRPr="00657549">
        <w:rPr>
          <w:b/>
          <w:bCs/>
          <w:noProof/>
          <w:lang w:val="en-US" w:eastAsia="en-GB"/>
        </w:rPr>
        <w:t>: HARQ bundling is supported for CE Mode B for the MTBG feature</w:t>
      </w:r>
      <w:r>
        <w:rPr>
          <w:bCs/>
          <w:noProof/>
          <w:lang w:val="en-US" w:eastAsia="en-GB"/>
        </w:rPr>
        <w:t>.</w:t>
      </w:r>
    </w:p>
    <w:p w14:paraId="29916968" w14:textId="77777777" w:rsidR="00A521CA" w:rsidRDefault="00A521CA" w:rsidP="00A521CA">
      <w:pPr>
        <w:rPr>
          <w:bCs/>
          <w:noProof/>
          <w:lang w:val="en-US" w:eastAsia="en-GB"/>
        </w:rPr>
      </w:pPr>
      <w:r w:rsidRPr="00964810">
        <w:rPr>
          <w:b/>
          <w:bCs/>
          <w:noProof/>
          <w:lang w:val="en-US" w:eastAsia="en-GB"/>
        </w:rPr>
        <w:t xml:space="preserve">Proposal </w:t>
      </w:r>
      <w:r>
        <w:rPr>
          <w:b/>
          <w:bCs/>
          <w:noProof/>
          <w:lang w:val="en-US" w:eastAsia="en-GB"/>
        </w:rPr>
        <w:t>3</w:t>
      </w:r>
      <w:r w:rsidRPr="00964810">
        <w:rPr>
          <w:b/>
          <w:bCs/>
          <w:noProof/>
          <w:lang w:val="en-US" w:eastAsia="en-GB"/>
        </w:rPr>
        <w:t>: The maximum HARQ bundle size is 4</w:t>
      </w:r>
      <w:r>
        <w:rPr>
          <w:bCs/>
          <w:noProof/>
          <w:lang w:val="en-US" w:eastAsia="en-GB"/>
        </w:rPr>
        <w:t>.</w:t>
      </w:r>
    </w:p>
    <w:p w14:paraId="03DF3158" w14:textId="77777777" w:rsidR="00A521CA" w:rsidRDefault="00A521CA" w:rsidP="00A521CA">
      <w:pPr>
        <w:rPr>
          <w:b/>
          <w:bCs/>
          <w:noProof/>
          <w:lang w:val="en-US" w:eastAsia="en-GB"/>
        </w:rPr>
      </w:pPr>
      <w:r w:rsidRPr="00CA5461">
        <w:rPr>
          <w:b/>
          <w:bCs/>
          <w:noProof/>
          <w:lang w:val="en-US" w:eastAsia="en-GB"/>
        </w:rPr>
        <w:t xml:space="preserve">Proposal </w:t>
      </w:r>
      <w:r>
        <w:rPr>
          <w:b/>
          <w:bCs/>
          <w:noProof/>
          <w:lang w:val="en-US" w:eastAsia="en-GB"/>
        </w:rPr>
        <w:t>4</w:t>
      </w:r>
      <w:r w:rsidRPr="00CA5461">
        <w:rPr>
          <w:b/>
          <w:bCs/>
          <w:noProof/>
          <w:lang w:val="en-US" w:eastAsia="en-GB"/>
        </w:rPr>
        <w:t>: When a</w:t>
      </w:r>
      <w:r w:rsidRPr="00360B15">
        <w:rPr>
          <w:b/>
          <w:bCs/>
          <w:noProof/>
          <w:lang w:val="en-US" w:eastAsia="en-GB"/>
        </w:rPr>
        <w:t xml:space="preserve"> HARQ-bundled NACK is transmitted, individual PUCCH are transmitted following that HARQ-bundled NACK, indicating the ACK / NACK status of individual PDSCH transport blocks.</w:t>
      </w:r>
    </w:p>
    <w:p w14:paraId="4F617053" w14:textId="77777777" w:rsidR="00A521CA" w:rsidRPr="00246E52" w:rsidRDefault="00A521CA" w:rsidP="00A521CA">
      <w:pPr>
        <w:rPr>
          <w:rFonts w:eastAsia="MS Mincho"/>
          <w:b/>
        </w:rPr>
      </w:pPr>
      <w:r w:rsidRPr="00246E52">
        <w:rPr>
          <w:rFonts w:eastAsia="MS Mincho"/>
          <w:b/>
        </w:rPr>
        <w:t xml:space="preserve">Proposal </w:t>
      </w:r>
      <w:r>
        <w:rPr>
          <w:rFonts w:eastAsia="MS Mincho"/>
          <w:b/>
        </w:rPr>
        <w:t>5</w:t>
      </w:r>
      <w:r w:rsidRPr="00246E52">
        <w:rPr>
          <w:rFonts w:eastAsia="MS Mincho"/>
          <w:b/>
        </w:rPr>
        <w:t>. The following features could be configured to work alongside the MTBG feature:</w:t>
      </w:r>
    </w:p>
    <w:p w14:paraId="681EF38C" w14:textId="77777777" w:rsidR="00A521CA" w:rsidRPr="00246E52" w:rsidRDefault="00A521CA" w:rsidP="00A521CA">
      <w:pPr>
        <w:numPr>
          <w:ilvl w:val="0"/>
          <w:numId w:val="41"/>
        </w:numPr>
        <w:spacing w:after="0"/>
        <w:rPr>
          <w:rFonts w:eastAsia="Times New Roman"/>
          <w:b/>
        </w:rPr>
      </w:pPr>
      <w:r w:rsidRPr="00246E52">
        <w:rPr>
          <w:rFonts w:eastAsia="Times New Roman"/>
          <w:b/>
        </w:rPr>
        <w:t>Rel-14 feature for 2984 bits max UL TBS in 1.4 MHz in CE mode A</w:t>
      </w:r>
    </w:p>
    <w:p w14:paraId="06722212" w14:textId="77777777" w:rsidR="00A521CA" w:rsidRPr="00246E52" w:rsidRDefault="00A521CA" w:rsidP="00A521CA">
      <w:pPr>
        <w:numPr>
          <w:ilvl w:val="0"/>
          <w:numId w:val="41"/>
        </w:numPr>
        <w:spacing w:after="0"/>
        <w:rPr>
          <w:rFonts w:eastAsia="Times New Roman"/>
          <w:b/>
        </w:rPr>
      </w:pPr>
      <w:r w:rsidRPr="00246E52">
        <w:rPr>
          <w:rFonts w:eastAsia="Times New Roman"/>
          <w:b/>
        </w:rPr>
        <w:t>Rel-14 features for 5 or 20 MHz max PDSCH/PUSCH channel bandwidths in CE mode A/B</w:t>
      </w:r>
    </w:p>
    <w:p w14:paraId="6391C8B4" w14:textId="77777777" w:rsidR="00A521CA" w:rsidRPr="00246E52" w:rsidRDefault="00A521CA" w:rsidP="00A521CA">
      <w:pPr>
        <w:numPr>
          <w:ilvl w:val="0"/>
          <w:numId w:val="41"/>
        </w:numPr>
        <w:spacing w:after="0"/>
        <w:rPr>
          <w:rFonts w:eastAsia="Times New Roman"/>
          <w:b/>
        </w:rPr>
      </w:pPr>
      <w:r w:rsidRPr="00246E52">
        <w:rPr>
          <w:rFonts w:eastAsia="Times New Roman"/>
          <w:b/>
        </w:rPr>
        <w:t>Rel-15 features for flexible starting PRB for PDSCH/PUSCH in CE mode A/B</w:t>
      </w:r>
    </w:p>
    <w:p w14:paraId="6ACD9C1F" w14:textId="77777777" w:rsidR="00A521CA" w:rsidRPr="00246E52" w:rsidRDefault="00A521CA" w:rsidP="00A521CA">
      <w:pPr>
        <w:numPr>
          <w:ilvl w:val="0"/>
          <w:numId w:val="41"/>
        </w:numPr>
        <w:spacing w:after="0"/>
        <w:rPr>
          <w:rFonts w:eastAsia="Times New Roman"/>
          <w:b/>
        </w:rPr>
      </w:pPr>
      <w:r w:rsidRPr="00246E52">
        <w:rPr>
          <w:rFonts w:eastAsia="Times New Roman"/>
          <w:b/>
        </w:rPr>
        <w:t>Rel-15 feature for PUSCH sub-PRB allocation in CE mode A/B</w:t>
      </w:r>
    </w:p>
    <w:p w14:paraId="6CEB3F54" w14:textId="77777777" w:rsidR="00A521CA" w:rsidRPr="00246E52" w:rsidRDefault="00A521CA" w:rsidP="00A521CA">
      <w:pPr>
        <w:numPr>
          <w:ilvl w:val="0"/>
          <w:numId w:val="41"/>
        </w:numPr>
        <w:spacing w:after="0"/>
        <w:rPr>
          <w:rFonts w:eastAsia="Times New Roman"/>
          <w:b/>
        </w:rPr>
      </w:pPr>
      <w:r w:rsidRPr="00246E52">
        <w:rPr>
          <w:rFonts w:eastAsia="Times New Roman"/>
          <w:b/>
        </w:rPr>
        <w:t>Rel-15 feature for 64QAM for non-repeated unicast PDSCH in CE mode A</w:t>
      </w:r>
    </w:p>
    <w:p w14:paraId="5CCB56C9" w14:textId="0090E095" w:rsidR="00A521CA" w:rsidRPr="00A521CA" w:rsidRDefault="00A521CA" w:rsidP="00855F39">
      <w:pPr>
        <w:numPr>
          <w:ilvl w:val="0"/>
          <w:numId w:val="41"/>
        </w:numPr>
        <w:spacing w:after="0"/>
        <w:rPr>
          <w:rFonts w:eastAsia="Times New Roman"/>
          <w:b/>
        </w:rPr>
      </w:pPr>
      <w:r w:rsidRPr="00246E52">
        <w:rPr>
          <w:rFonts w:eastAsia="Times New Roman"/>
          <w:b/>
        </w:rPr>
        <w:t>Rel-15 feature for uplink HARQ-ACK feedback in DCI in CE mode A/B</w:t>
      </w:r>
      <w:bookmarkStart w:id="6" w:name="_GoBack"/>
      <w:bookmarkEnd w:id="6"/>
    </w:p>
    <w:p w14:paraId="79939F8E"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14:paraId="2F5D00AD" w14:textId="29B25A08" w:rsidR="007271F6" w:rsidRDefault="00855F39" w:rsidP="008F4664">
      <w:pPr>
        <w:ind w:left="567" w:hanging="567"/>
      </w:pPr>
      <w:r>
        <w:t xml:space="preserve">[1] </w:t>
      </w:r>
      <w:r w:rsidR="008F4664">
        <w:tab/>
      </w:r>
      <w:r w:rsidR="002B6A9E">
        <w:t>R1-190</w:t>
      </w:r>
      <w:r w:rsidR="00364C98">
        <w:t>5768</w:t>
      </w:r>
      <w:r w:rsidR="002B6A9E">
        <w:t>, “</w:t>
      </w:r>
      <w:r w:rsidR="00DB0C2A" w:rsidRPr="00DB0C2A">
        <w:t>RAN1 agreements for Rel-16 Additional MTC Enhancements for LTE</w:t>
      </w:r>
      <w:r w:rsidR="002B6A9E">
        <w:t>”</w:t>
      </w:r>
      <w:r w:rsidR="00DB0C2A">
        <w:t>.</w:t>
      </w:r>
      <w:r w:rsidR="002B6A9E">
        <w:t xml:space="preserve"> </w:t>
      </w:r>
      <w:r w:rsidR="00DB0C2A">
        <w:t>WI rapporteur (Ericsson)</w:t>
      </w:r>
      <w:r w:rsidR="002B6A9E">
        <w:t>, RAN1#96</w:t>
      </w:r>
      <w:r w:rsidR="00364C98">
        <w:t>bis</w:t>
      </w:r>
      <w:r w:rsidR="008F4664">
        <w:t xml:space="preserve">, </w:t>
      </w:r>
      <w:r w:rsidR="00364C98">
        <w:t>Xian</w:t>
      </w:r>
      <w:r w:rsidR="008F4664">
        <w:t xml:space="preserve">, </w:t>
      </w:r>
      <w:r w:rsidR="00364C98">
        <w:t>Apr</w:t>
      </w:r>
      <w:r w:rsidR="008F4664">
        <w:t xml:space="preserve"> 2019</w:t>
      </w:r>
      <w:r w:rsidR="00DB0C2A">
        <w:t>.</w:t>
      </w:r>
    </w:p>
    <w:p w14:paraId="641209FB" w14:textId="46168A25" w:rsidR="002B6A9E" w:rsidRDefault="002B6A9E" w:rsidP="008F4664">
      <w:pPr>
        <w:ind w:left="567" w:hanging="567"/>
      </w:pPr>
      <w:r>
        <w:t xml:space="preserve">[2] </w:t>
      </w:r>
      <w:r w:rsidR="008F4664">
        <w:tab/>
      </w:r>
      <w:r>
        <w:t>R1-190</w:t>
      </w:r>
      <w:r w:rsidR="00364C98">
        <w:t>5534</w:t>
      </w:r>
      <w:r>
        <w:t>, “</w:t>
      </w:r>
      <w:r w:rsidR="00364C98">
        <w:rPr>
          <w:lang w:eastAsia="x-none"/>
        </w:rPr>
        <w:t>Feature lead summary for Scheduling of multiple DL/UL transport blocks for LTE-MTC</w:t>
      </w:r>
      <w:r>
        <w:t>”</w:t>
      </w:r>
      <w:r w:rsidR="008F4664">
        <w:t>.</w:t>
      </w:r>
      <w:r>
        <w:t xml:space="preserve"> </w:t>
      </w:r>
      <w:r w:rsidR="008F4664">
        <w:t>Ericsson</w:t>
      </w:r>
      <w:r w:rsidRPr="002B6A9E">
        <w:t xml:space="preserve">, </w:t>
      </w:r>
      <w:r>
        <w:t>RAN1#96</w:t>
      </w:r>
      <w:r w:rsidR="00364C98">
        <w:t>bis</w:t>
      </w:r>
      <w:r w:rsidR="008F4664">
        <w:t xml:space="preserve">, </w:t>
      </w:r>
      <w:r w:rsidR="00364C98">
        <w:t>Xian</w:t>
      </w:r>
      <w:r w:rsidR="008F4664">
        <w:t xml:space="preserve">, </w:t>
      </w:r>
      <w:r w:rsidR="00364C98">
        <w:t>Apr</w:t>
      </w:r>
      <w:r w:rsidR="008F4664">
        <w:t xml:space="preserve"> 2019.</w:t>
      </w:r>
    </w:p>
    <w:p w14:paraId="69BE876E" w14:textId="4B596438" w:rsidR="00296551" w:rsidRDefault="00296551" w:rsidP="008F4664">
      <w:pPr>
        <w:ind w:left="567" w:hanging="567"/>
      </w:pPr>
      <w:r>
        <w:t>[3]</w:t>
      </w:r>
      <w:r>
        <w:tab/>
        <w:t>R1-1904231. “On scheduling multiple DL / UL transport blocks”. Sony. RAN1#96bis, Xian. April 2019.</w:t>
      </w:r>
    </w:p>
    <w:p w14:paraId="092E06FC" w14:textId="77777777" w:rsidR="00134BC2" w:rsidRPr="00134BC2" w:rsidRDefault="00134BC2" w:rsidP="008F4664">
      <w:pPr>
        <w:ind w:left="567" w:hanging="567"/>
        <w:rPr>
          <w:lang w:val="en-US"/>
        </w:rPr>
      </w:pPr>
    </w:p>
    <w:p w14:paraId="1DEFAA84" w14:textId="77777777" w:rsidR="007271F6" w:rsidRDefault="007271F6" w:rsidP="00855F39"/>
    <w:sectPr w:rsidR="007271F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3514A" w14:textId="77777777" w:rsidR="001A1DF1" w:rsidRDefault="001A1DF1">
      <w:r>
        <w:separator/>
      </w:r>
    </w:p>
  </w:endnote>
  <w:endnote w:type="continuationSeparator" w:id="0">
    <w:p w14:paraId="11F5F699" w14:textId="77777777" w:rsidR="001A1DF1" w:rsidRDefault="001A1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955E8" w14:textId="77777777" w:rsidR="001A1DF1" w:rsidRDefault="001A1DF1">
      <w:r>
        <w:separator/>
      </w:r>
    </w:p>
  </w:footnote>
  <w:footnote w:type="continuationSeparator" w:id="0">
    <w:p w14:paraId="265C99FE" w14:textId="77777777" w:rsidR="001A1DF1" w:rsidRDefault="001A1D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110C9F"/>
    <w:multiLevelType w:val="hybridMultilevel"/>
    <w:tmpl w:val="6F101B6E"/>
    <w:lvl w:ilvl="0" w:tplc="3E10521C">
      <w:start w:val="2"/>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AA3BDC"/>
    <w:multiLevelType w:val="hybridMultilevel"/>
    <w:tmpl w:val="4AF8A0A4"/>
    <w:lvl w:ilvl="0" w:tplc="08090001">
      <w:start w:val="1"/>
      <w:numFmt w:val="bullet"/>
      <w:lvlText w:val=""/>
      <w:lvlJc w:val="left"/>
      <w:pPr>
        <w:ind w:left="885" w:hanging="360"/>
      </w:pPr>
      <w:rPr>
        <w:rFonts w:ascii="Symbol" w:hAnsi="Symbol"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79A41F8"/>
    <w:multiLevelType w:val="hybridMultilevel"/>
    <w:tmpl w:val="19287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B928B8"/>
    <w:multiLevelType w:val="hybridMultilevel"/>
    <w:tmpl w:val="95460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914C80"/>
    <w:multiLevelType w:val="hybridMultilevel"/>
    <w:tmpl w:val="018EF796"/>
    <w:lvl w:ilvl="0" w:tplc="36C81784">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4F62FC"/>
    <w:multiLevelType w:val="hybridMultilevel"/>
    <w:tmpl w:val="23967B20"/>
    <w:lvl w:ilvl="0" w:tplc="50380070">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480D3D"/>
    <w:multiLevelType w:val="hybridMultilevel"/>
    <w:tmpl w:val="63B474DA"/>
    <w:lvl w:ilvl="0" w:tplc="36C8178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E45AF5"/>
    <w:multiLevelType w:val="hybridMultilevel"/>
    <w:tmpl w:val="4978F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37"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216FB0"/>
    <w:multiLevelType w:val="hybridMultilevel"/>
    <w:tmpl w:val="FB2A1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6"/>
  </w:num>
  <w:num w:numId="3">
    <w:abstractNumId w:val="18"/>
  </w:num>
  <w:num w:numId="4">
    <w:abstractNumId w:val="6"/>
  </w:num>
  <w:num w:numId="5">
    <w:abstractNumId w:val="24"/>
  </w:num>
  <w:num w:numId="6">
    <w:abstractNumId w:val="7"/>
  </w:num>
  <w:num w:numId="7">
    <w:abstractNumId w:val="1"/>
  </w:num>
  <w:num w:numId="8">
    <w:abstractNumId w:val="0"/>
  </w:num>
  <w:num w:numId="9">
    <w:abstractNumId w:val="16"/>
  </w:num>
  <w:num w:numId="10">
    <w:abstractNumId w:val="11"/>
  </w:num>
  <w:num w:numId="11">
    <w:abstractNumId w:val="4"/>
  </w:num>
  <w:num w:numId="12">
    <w:abstractNumId w:val="37"/>
  </w:num>
  <w:num w:numId="13">
    <w:abstractNumId w:val="22"/>
  </w:num>
  <w:num w:numId="14">
    <w:abstractNumId w:val="10"/>
  </w:num>
  <w:num w:numId="15">
    <w:abstractNumId w:val="35"/>
  </w:num>
  <w:num w:numId="16">
    <w:abstractNumId w:val="28"/>
  </w:num>
  <w:num w:numId="17">
    <w:abstractNumId w:val="38"/>
  </w:num>
  <w:num w:numId="18">
    <w:abstractNumId w:val="30"/>
  </w:num>
  <w:num w:numId="19">
    <w:abstractNumId w:val="17"/>
  </w:num>
  <w:num w:numId="20">
    <w:abstractNumId w:val="2"/>
  </w:num>
  <w:num w:numId="21">
    <w:abstractNumId w:val="12"/>
  </w:num>
  <w:num w:numId="22">
    <w:abstractNumId w:val="3"/>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25"/>
  </w:num>
  <w:num w:numId="26">
    <w:abstractNumId w:val="14"/>
  </w:num>
  <w:num w:numId="27">
    <w:abstractNumId w:val="23"/>
  </w:num>
  <w:num w:numId="28">
    <w:abstractNumId w:val="29"/>
  </w:num>
  <w:num w:numId="29">
    <w:abstractNumId w:val="8"/>
  </w:num>
  <w:num w:numId="30">
    <w:abstractNumId w:val="5"/>
  </w:num>
  <w:num w:numId="31">
    <w:abstractNumId w:val="27"/>
  </w:num>
  <w:num w:numId="32">
    <w:abstractNumId w:val="34"/>
  </w:num>
  <w:num w:numId="33">
    <w:abstractNumId w:val="13"/>
  </w:num>
  <w:num w:numId="34">
    <w:abstractNumId w:val="19"/>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31"/>
  </w:num>
  <w:num w:numId="38">
    <w:abstractNumId w:val="20"/>
  </w:num>
  <w:num w:numId="39">
    <w:abstractNumId w:val="36"/>
  </w:num>
  <w:num w:numId="40">
    <w:abstractNumId w:val="33"/>
  </w:num>
  <w:num w:numId="41">
    <w:abstractNumId w:val="41"/>
  </w:num>
  <w:num w:numId="42">
    <w:abstractNumId w:val="39"/>
  </w:num>
  <w:num w:numId="43">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31AA4"/>
    <w:rsid w:val="000D55CA"/>
    <w:rsid w:val="000D7B2E"/>
    <w:rsid w:val="000F2691"/>
    <w:rsid w:val="00106793"/>
    <w:rsid w:val="00116008"/>
    <w:rsid w:val="00134BC2"/>
    <w:rsid w:val="00154A2B"/>
    <w:rsid w:val="00160371"/>
    <w:rsid w:val="001929D2"/>
    <w:rsid w:val="001A1DF1"/>
    <w:rsid w:val="001C7167"/>
    <w:rsid w:val="001D7294"/>
    <w:rsid w:val="001F6D3C"/>
    <w:rsid w:val="002136ED"/>
    <w:rsid w:val="0021709D"/>
    <w:rsid w:val="0022222B"/>
    <w:rsid w:val="00224002"/>
    <w:rsid w:val="0023091B"/>
    <w:rsid w:val="00231F95"/>
    <w:rsid w:val="00233CA5"/>
    <w:rsid w:val="0023629F"/>
    <w:rsid w:val="00246E52"/>
    <w:rsid w:val="00270216"/>
    <w:rsid w:val="002761EC"/>
    <w:rsid w:val="00296551"/>
    <w:rsid w:val="002A006C"/>
    <w:rsid w:val="002A1B03"/>
    <w:rsid w:val="002B1D8E"/>
    <w:rsid w:val="002B6A9E"/>
    <w:rsid w:val="002C2869"/>
    <w:rsid w:val="002C75C7"/>
    <w:rsid w:val="002D14A6"/>
    <w:rsid w:val="002D4F72"/>
    <w:rsid w:val="002E0D51"/>
    <w:rsid w:val="002F7659"/>
    <w:rsid w:val="00300E72"/>
    <w:rsid w:val="00310ED0"/>
    <w:rsid w:val="003539C7"/>
    <w:rsid w:val="00364C98"/>
    <w:rsid w:val="00382840"/>
    <w:rsid w:val="00395D70"/>
    <w:rsid w:val="003A004E"/>
    <w:rsid w:val="003A1646"/>
    <w:rsid w:val="003D3533"/>
    <w:rsid w:val="003D4C90"/>
    <w:rsid w:val="0041482F"/>
    <w:rsid w:val="00427D9F"/>
    <w:rsid w:val="00445089"/>
    <w:rsid w:val="00466C8C"/>
    <w:rsid w:val="0048511E"/>
    <w:rsid w:val="00492A87"/>
    <w:rsid w:val="004A650D"/>
    <w:rsid w:val="004D1FC7"/>
    <w:rsid w:val="004D5BF4"/>
    <w:rsid w:val="00503DA1"/>
    <w:rsid w:val="0052336E"/>
    <w:rsid w:val="005317FD"/>
    <w:rsid w:val="00544758"/>
    <w:rsid w:val="0055725A"/>
    <w:rsid w:val="00577F8A"/>
    <w:rsid w:val="00587AD5"/>
    <w:rsid w:val="005C19D9"/>
    <w:rsid w:val="005C6F23"/>
    <w:rsid w:val="005C70A9"/>
    <w:rsid w:val="005C7515"/>
    <w:rsid w:val="005D729E"/>
    <w:rsid w:val="005F5642"/>
    <w:rsid w:val="00613B20"/>
    <w:rsid w:val="006471F6"/>
    <w:rsid w:val="006569B2"/>
    <w:rsid w:val="00657549"/>
    <w:rsid w:val="00673015"/>
    <w:rsid w:val="006B39D4"/>
    <w:rsid w:val="006B5C13"/>
    <w:rsid w:val="006D0EAA"/>
    <w:rsid w:val="007271F6"/>
    <w:rsid w:val="0073373C"/>
    <w:rsid w:val="00773AC2"/>
    <w:rsid w:val="00782D42"/>
    <w:rsid w:val="00783E56"/>
    <w:rsid w:val="00792E00"/>
    <w:rsid w:val="007A086D"/>
    <w:rsid w:val="007A4337"/>
    <w:rsid w:val="007C7478"/>
    <w:rsid w:val="007D3E92"/>
    <w:rsid w:val="00802E59"/>
    <w:rsid w:val="008413E1"/>
    <w:rsid w:val="00842D44"/>
    <w:rsid w:val="00847A26"/>
    <w:rsid w:val="00855F39"/>
    <w:rsid w:val="00863E4E"/>
    <w:rsid w:val="00881FF7"/>
    <w:rsid w:val="008B589E"/>
    <w:rsid w:val="008D7C42"/>
    <w:rsid w:val="008E4156"/>
    <w:rsid w:val="008F1F96"/>
    <w:rsid w:val="008F434A"/>
    <w:rsid w:val="008F4664"/>
    <w:rsid w:val="00907F37"/>
    <w:rsid w:val="00922FEA"/>
    <w:rsid w:val="00924FF2"/>
    <w:rsid w:val="0095028A"/>
    <w:rsid w:val="00953616"/>
    <w:rsid w:val="00964810"/>
    <w:rsid w:val="0099351A"/>
    <w:rsid w:val="009A5946"/>
    <w:rsid w:val="009C5434"/>
    <w:rsid w:val="009D4321"/>
    <w:rsid w:val="009D6199"/>
    <w:rsid w:val="009E0604"/>
    <w:rsid w:val="009F2819"/>
    <w:rsid w:val="00A2568F"/>
    <w:rsid w:val="00A3558A"/>
    <w:rsid w:val="00A435BB"/>
    <w:rsid w:val="00A4775E"/>
    <w:rsid w:val="00A521CA"/>
    <w:rsid w:val="00A53301"/>
    <w:rsid w:val="00A57B22"/>
    <w:rsid w:val="00A824A2"/>
    <w:rsid w:val="00A87FD5"/>
    <w:rsid w:val="00A91C99"/>
    <w:rsid w:val="00AB4ED7"/>
    <w:rsid w:val="00AB6D69"/>
    <w:rsid w:val="00AD4A6C"/>
    <w:rsid w:val="00AE52A9"/>
    <w:rsid w:val="00AF500B"/>
    <w:rsid w:val="00B10D92"/>
    <w:rsid w:val="00B132F8"/>
    <w:rsid w:val="00B2782B"/>
    <w:rsid w:val="00B45772"/>
    <w:rsid w:val="00B4693B"/>
    <w:rsid w:val="00BA58BF"/>
    <w:rsid w:val="00BB47FD"/>
    <w:rsid w:val="00C05967"/>
    <w:rsid w:val="00C07D1A"/>
    <w:rsid w:val="00C11C96"/>
    <w:rsid w:val="00C17CE0"/>
    <w:rsid w:val="00C246F3"/>
    <w:rsid w:val="00C64143"/>
    <w:rsid w:val="00C8704A"/>
    <w:rsid w:val="00CA5461"/>
    <w:rsid w:val="00CA6F42"/>
    <w:rsid w:val="00CB13D7"/>
    <w:rsid w:val="00CB2067"/>
    <w:rsid w:val="00CC4DE0"/>
    <w:rsid w:val="00CF70FD"/>
    <w:rsid w:val="00D03C4C"/>
    <w:rsid w:val="00D05592"/>
    <w:rsid w:val="00D25F71"/>
    <w:rsid w:val="00D3258A"/>
    <w:rsid w:val="00D370EC"/>
    <w:rsid w:val="00D473F5"/>
    <w:rsid w:val="00D550D7"/>
    <w:rsid w:val="00D708B8"/>
    <w:rsid w:val="00D71FBC"/>
    <w:rsid w:val="00D96324"/>
    <w:rsid w:val="00D969D2"/>
    <w:rsid w:val="00DA4475"/>
    <w:rsid w:val="00DB0C2A"/>
    <w:rsid w:val="00DB3077"/>
    <w:rsid w:val="00DB7F21"/>
    <w:rsid w:val="00DC0C31"/>
    <w:rsid w:val="00DD077C"/>
    <w:rsid w:val="00DE5DA3"/>
    <w:rsid w:val="00E20C1D"/>
    <w:rsid w:val="00E540CB"/>
    <w:rsid w:val="00E62C72"/>
    <w:rsid w:val="00E6545D"/>
    <w:rsid w:val="00E7721C"/>
    <w:rsid w:val="00E80AA8"/>
    <w:rsid w:val="00EA40E1"/>
    <w:rsid w:val="00ED0DE9"/>
    <w:rsid w:val="00ED66F5"/>
    <w:rsid w:val="00EF2E1D"/>
    <w:rsid w:val="00EF6860"/>
    <w:rsid w:val="00EF7395"/>
    <w:rsid w:val="00F07A44"/>
    <w:rsid w:val="00F17221"/>
    <w:rsid w:val="00F1792E"/>
    <w:rsid w:val="00F27E41"/>
    <w:rsid w:val="00F41322"/>
    <w:rsid w:val="00F42338"/>
    <w:rsid w:val="00F912B3"/>
    <w:rsid w:val="00FA49E4"/>
    <w:rsid w:val="00FB778E"/>
    <w:rsid w:val="00FC3D97"/>
    <w:rsid w:val="00FD3E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 Bullets Char1,Lista1 Char1,?? ?? Char1,????? Char1"/>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2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134BC2"/>
    <w:pPr>
      <w:numPr>
        <w:numId w:val="36"/>
      </w:numPr>
      <w:overflowPunct w:val="0"/>
      <w:autoSpaceDE w:val="0"/>
      <w:autoSpaceDN w:val="0"/>
      <w:adjustRightInd w:val="0"/>
      <w:spacing w:after="120"/>
      <w:jc w:val="both"/>
      <w:textAlignment w:val="baseline"/>
    </w:pPr>
    <w:rPr>
      <w:rFonts w:ascii="Arial" w:eastAsia="Times New Roman" w:hAnsi="Arial"/>
      <w:sz w:val="20"/>
      <w:lang w:val="en-US" w:eastAsia="zh-CN"/>
    </w:rPr>
  </w:style>
  <w:style w:type="paragraph" w:customStyle="1" w:styleId="Proposal">
    <w:name w:val="Proposal"/>
    <w:basedOn w:val="Normal"/>
    <w:link w:val="ProposalChar"/>
    <w:qFormat/>
    <w:rsid w:val="00364C98"/>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364C98"/>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666476486">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92777162">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CA886-E6A6-4C3F-A6D3-1B0CC79D1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6</Pages>
  <Words>2144</Words>
  <Characters>12227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cp:keywords>
  <dc:description/>
  <cp:lastModifiedBy>Beale, Martin</cp:lastModifiedBy>
  <cp:revision>5</cp:revision>
  <cp:lastPrinted>2002-04-23T09:10:00Z</cp:lastPrinted>
  <dcterms:created xsi:type="dcterms:W3CDTF">2019-03-29T01:07:00Z</dcterms:created>
  <dcterms:modified xsi:type="dcterms:W3CDTF">2019-05-03T17:41:00Z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